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6211B2" w:rsidRPr="00C172AE" w14:paraId="25EB01F0" w14:textId="77777777" w:rsidTr="00B35D1C">
        <w:trPr>
          <w:trHeight w:hRule="exact" w:val="510"/>
        </w:trPr>
        <w:tc>
          <w:tcPr>
            <w:tcW w:w="819" w:type="dxa"/>
            <w:tcBorders>
              <w:top w:val="nil"/>
              <w:bottom w:val="nil"/>
              <w:right w:val="nil"/>
            </w:tcBorders>
            <w:noWrap/>
            <w:vAlign w:val="bottom"/>
          </w:tcPr>
          <w:p w14:paraId="2F4E8E57" w14:textId="77777777" w:rsidR="006211B2" w:rsidRPr="00AE65F6" w:rsidRDefault="006211B2" w:rsidP="00F07323">
            <w:pPr>
              <w:pageBreakBefore/>
              <w:rPr>
                <w:color w:val="FFFFFF" w:themeColor="background1"/>
              </w:rPr>
            </w:pPr>
          </w:p>
        </w:tc>
        <w:tc>
          <w:tcPr>
            <w:tcW w:w="3854" w:type="dxa"/>
            <w:tcBorders>
              <w:top w:val="nil"/>
              <w:left w:val="nil"/>
              <w:bottom w:val="nil"/>
              <w:right w:val="nil"/>
            </w:tcBorders>
            <w:noWrap/>
            <w:vAlign w:val="bottom"/>
          </w:tcPr>
          <w:p w14:paraId="73B774A5" w14:textId="77777777" w:rsidR="006211B2" w:rsidRPr="007C1230" w:rsidRDefault="006211B2" w:rsidP="00F07323">
            <w:pPr>
              <w:pStyle w:val="ekvkolumnentitel"/>
            </w:pPr>
            <w:r w:rsidRPr="007C1230">
              <w:t>Name:</w:t>
            </w:r>
          </w:p>
        </w:tc>
        <w:tc>
          <w:tcPr>
            <w:tcW w:w="1320" w:type="dxa"/>
            <w:tcBorders>
              <w:top w:val="nil"/>
              <w:left w:val="nil"/>
              <w:bottom w:val="nil"/>
              <w:right w:val="nil"/>
            </w:tcBorders>
            <w:noWrap/>
            <w:vAlign w:val="bottom"/>
          </w:tcPr>
          <w:p w14:paraId="6002E45C" w14:textId="77777777" w:rsidR="006211B2" w:rsidRPr="007C1230" w:rsidRDefault="006211B2" w:rsidP="00F07323">
            <w:pPr>
              <w:pStyle w:val="ekvkolumnentitel"/>
            </w:pPr>
            <w:r w:rsidRPr="007C1230">
              <w:t>Klasse:</w:t>
            </w:r>
          </w:p>
        </w:tc>
        <w:tc>
          <w:tcPr>
            <w:tcW w:w="2040" w:type="dxa"/>
            <w:tcBorders>
              <w:top w:val="nil"/>
              <w:left w:val="nil"/>
              <w:bottom w:val="nil"/>
              <w:right w:val="nil"/>
            </w:tcBorders>
            <w:noWrap/>
            <w:vAlign w:val="bottom"/>
          </w:tcPr>
          <w:p w14:paraId="69FF9887" w14:textId="77777777" w:rsidR="006211B2" w:rsidRPr="007C1230" w:rsidRDefault="006211B2" w:rsidP="00F07323">
            <w:pPr>
              <w:pStyle w:val="ekvkolumnentitel"/>
            </w:pPr>
            <w:r w:rsidRPr="007C1230">
              <w:t>Datum:</w:t>
            </w:r>
          </w:p>
        </w:tc>
        <w:tc>
          <w:tcPr>
            <w:tcW w:w="1301" w:type="dxa"/>
            <w:tcBorders>
              <w:top w:val="nil"/>
              <w:left w:val="nil"/>
              <w:bottom w:val="nil"/>
              <w:right w:val="nil"/>
            </w:tcBorders>
            <w:noWrap/>
            <w:vAlign w:val="bottom"/>
          </w:tcPr>
          <w:p w14:paraId="0D8B5D98" w14:textId="0AEDFF51" w:rsidR="006211B2" w:rsidRPr="007C1230" w:rsidRDefault="006211B2" w:rsidP="00420CAF">
            <w:pPr>
              <w:pStyle w:val="ekvkolumnentitel"/>
            </w:pPr>
            <w:r>
              <w:t>Seite 1 von 1</w:t>
            </w:r>
          </w:p>
        </w:tc>
        <w:tc>
          <w:tcPr>
            <w:tcW w:w="1666" w:type="dxa"/>
            <w:tcBorders>
              <w:top w:val="nil"/>
              <w:left w:val="nil"/>
              <w:bottom w:val="single" w:sz="8" w:space="0" w:color="808080"/>
            </w:tcBorders>
            <w:noWrap/>
            <w:vAlign w:val="bottom"/>
          </w:tcPr>
          <w:p w14:paraId="36924EEF" w14:textId="77777777" w:rsidR="006211B2" w:rsidRPr="007636A0" w:rsidRDefault="006211B2" w:rsidP="00420CAF">
            <w:r>
              <w:t>Arbeits-</w:t>
            </w:r>
            <w:r>
              <w:br/>
            </w:r>
            <w:proofErr w:type="spellStart"/>
            <w:r>
              <w:t>blatt</w:t>
            </w:r>
            <w:proofErr w:type="spellEnd"/>
          </w:p>
        </w:tc>
      </w:tr>
      <w:tr w:rsidR="006211B2" w:rsidRPr="00BF17F2" w14:paraId="6D628CC2"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43B6293B" w14:textId="77777777" w:rsidR="006211B2" w:rsidRPr="00BF17F2" w:rsidRDefault="006211B2" w:rsidP="00F07323">
            <w:pPr>
              <w:rPr>
                <w:color w:val="FFFFFF" w:themeColor="background1"/>
              </w:rPr>
            </w:pPr>
          </w:p>
        </w:tc>
        <w:tc>
          <w:tcPr>
            <w:tcW w:w="8515" w:type="dxa"/>
            <w:gridSpan w:val="4"/>
            <w:tcBorders>
              <w:left w:val="nil"/>
              <w:bottom w:val="nil"/>
              <w:right w:val="nil"/>
            </w:tcBorders>
            <w:noWrap/>
            <w:vAlign w:val="bottom"/>
          </w:tcPr>
          <w:p w14:paraId="3E589C7E" w14:textId="77777777" w:rsidR="006211B2" w:rsidRPr="00BF17F2" w:rsidRDefault="006211B2" w:rsidP="00F07323">
            <w:pPr>
              <w:rPr>
                <w:color w:val="FFFFFF" w:themeColor="background1"/>
              </w:rPr>
            </w:pPr>
          </w:p>
        </w:tc>
        <w:tc>
          <w:tcPr>
            <w:tcW w:w="1666" w:type="dxa"/>
            <w:tcBorders>
              <w:top w:val="nil"/>
              <w:left w:val="nil"/>
              <w:bottom w:val="nil"/>
            </w:tcBorders>
          </w:tcPr>
          <w:p w14:paraId="6878625E" w14:textId="77777777" w:rsidR="006211B2" w:rsidRPr="00B35D1C" w:rsidRDefault="006211B2" w:rsidP="002E4656">
            <w:r>
              <w:rPr>
                <w:noProof/>
              </w:rPr>
              <w:drawing>
                <wp:anchor distT="0" distB="0" distL="114300" distR="114300" simplePos="0" relativeHeight="251659264" behindDoc="1" locked="0" layoutInCell="1" allowOverlap="1" wp14:anchorId="78BEDBCB" wp14:editId="4D02FB8C">
                  <wp:simplePos x="0" y="0"/>
                  <wp:positionH relativeFrom="column">
                    <wp:posOffset>-74884</wp:posOffset>
                  </wp:positionH>
                  <wp:positionV relativeFrom="paragraph">
                    <wp:posOffset>-614180</wp:posOffset>
                  </wp:positionV>
                  <wp:extent cx="791845" cy="791845"/>
                  <wp:effectExtent l="0" t="0" r="8255" b="8255"/>
                  <wp:wrapNone/>
                  <wp:docPr id="91" name="Grafik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3000FEB2" w14:textId="77777777" w:rsidR="006211B2" w:rsidRDefault="006211B2" w:rsidP="006211B2">
      <w:pPr>
        <w:pStyle w:val="ekvue1arial"/>
      </w:pPr>
      <w:r>
        <w:t>Kommentar der Schülerbearbeitung</w:t>
      </w:r>
    </w:p>
    <w:p w14:paraId="6C57FDAA" w14:textId="77777777" w:rsidR="006211B2" w:rsidRDefault="006211B2" w:rsidP="006211B2"/>
    <w:p w14:paraId="3137B953" w14:textId="73E67D0B" w:rsidR="006211B2" w:rsidRDefault="006211B2" w:rsidP="006211B2">
      <w:r>
        <w:t xml:space="preserve">Die vorliegende Aufgabenbearbeitung ist einer authentischen Unterrichtssituation entnommen. Treffende Darstellungen in weitgehender Deckung mit dem Erwartungshorizont finden sich also ebenso wie fachliche Abweichungen oder sprachliche Mängel. Insgesamt gewährt die Schülerbearbeitung damit einen validen Eindruck, wie die Bearbeitung der Kopiervorlagen konkret verlaufen kann. </w:t>
      </w:r>
    </w:p>
    <w:p w14:paraId="617103B0" w14:textId="77777777" w:rsidR="005C7E99" w:rsidRDefault="005C7E99" w:rsidP="006211B2"/>
    <w:p w14:paraId="41CD63A5" w14:textId="77777777" w:rsidR="006211B2" w:rsidRDefault="006211B2" w:rsidP="006211B2">
      <w:r>
        <w:t>Im Detail lässt sich Folgendes hervorheben:</w:t>
      </w:r>
    </w:p>
    <w:p w14:paraId="7F747725" w14:textId="77777777" w:rsidR="006211B2" w:rsidRDefault="006211B2" w:rsidP="006211B2">
      <w:r>
        <w:t>Die Bearbeitung von Aufgabe 1 zeigt, wie aus der Abbildung heraus die Vielseitigkeit der Kommunikation abgeleitet werden kann, wenngleich die Bearbeitung nicht frei von Mängeln ist, die in der Auswertung allerdings als Gesprächsanlass genutzt werden können: Einerseits ließen sich sicherlich noch andere Details hervorheben (die visuell angedeutete Lautstärke, die damit korrespondierende eher defensive Körpersprache, das konfrontativ-dialogische Setting), andererseits zielt diese Aufgabe noch nicht auf die genannten Fachbegriffe, die hier schon vorausgreifend genannt werden.</w:t>
      </w:r>
    </w:p>
    <w:p w14:paraId="7B53B71F" w14:textId="77777777" w:rsidR="005C7E99" w:rsidRDefault="005C7E99" w:rsidP="006211B2"/>
    <w:p w14:paraId="320BCE36" w14:textId="77777777" w:rsidR="006211B2" w:rsidRDefault="006211B2" w:rsidP="006211B2">
      <w:r>
        <w:t xml:space="preserve">Die Bearbeitung von Aufgabe 2 bringt die Inhalte des Textes bereits in Verbindung mit den zuvor gemachten Beobachtungen, auch wenn dies in der Aufgabenstellung noch nicht verlangt wird. Grundsätzlich wird jedoch deutlich, dass der Text eine solide Auswertung ermöglicht: Kommunikation läuft vor allem (= „vorfallen“ im Produkt) verbal ab, wird aber um weitere Kanäle erweitert. </w:t>
      </w:r>
    </w:p>
    <w:p w14:paraId="3B0C24B4" w14:textId="77777777" w:rsidR="005C7E99" w:rsidRDefault="005C7E99" w:rsidP="006211B2"/>
    <w:p w14:paraId="09F2CC8E" w14:textId="77777777" w:rsidR="006211B2" w:rsidRDefault="006211B2" w:rsidP="006211B2">
      <w:r>
        <w:t>Dass die Verbindung zwischen Infotext und bildlicher Darstellung in funktionaler Weise glücken kann, illustriert die Bearbeitung der Aufgabe 3: Im Auswertungsgespräch diskutieren ließe sich weiterführend die Frage, ob paraverbale Elemente in der Abbildung nicht zumindest angedeutet werden (siehe Megafon).</w:t>
      </w:r>
    </w:p>
    <w:p w14:paraId="11EA2960" w14:textId="77777777" w:rsidR="005C7E99" w:rsidRDefault="005C7E99" w:rsidP="006211B2"/>
    <w:p w14:paraId="29213F3C" w14:textId="429E1C62" w:rsidR="00EF190C" w:rsidRDefault="006211B2" w:rsidP="006211B2">
      <w:r>
        <w:t>Die Bearbeitung der Anwendungs- oder Transferaufgabe (Aufgabe 4) zeigt, dass die vorausgegangenen Aufgaben grundsätzlich funktional arrangiert sind, also das nötige Wissen zur Verfügung stellen, um Kommunikation als komplexes Zusammenspiel von verbalen, nonverbalen und paraverbalen Elementen zu entwerfen – hier am Beispiel vielschichtig kommunizierter Angst. Im Unterrichtsgespräch reflektieren ließe sich noch der Gesichtspunkt, ob „Fluchen“ und „unsichere Fragen“ in diesen offenen Formulierungen nicht bereits über den verbalen Kanal hinausgehen, also non- wie paraverbale Elemente semantisch zumindest andeuten.</w:t>
      </w:r>
    </w:p>
    <w:sectPr w:rsidR="00EF190C" w:rsidSect="0076479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586CA" w14:textId="77777777" w:rsidR="006211B2" w:rsidRDefault="006211B2" w:rsidP="003C599D">
      <w:pPr>
        <w:spacing w:line="240" w:lineRule="auto"/>
      </w:pPr>
      <w:r>
        <w:separator/>
      </w:r>
    </w:p>
  </w:endnote>
  <w:endnote w:type="continuationSeparator" w:id="0">
    <w:p w14:paraId="0AA6961A" w14:textId="77777777" w:rsidR="006211B2" w:rsidRDefault="006211B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3F54" w14:textId="77777777" w:rsidR="0025784A" w:rsidRDefault="002578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487B489" w14:textId="77777777" w:rsidTr="00503EE6">
      <w:trPr>
        <w:trHeight w:hRule="exact" w:val="680"/>
      </w:trPr>
      <w:tc>
        <w:tcPr>
          <w:tcW w:w="864" w:type="dxa"/>
          <w:noWrap/>
        </w:tcPr>
        <w:p w14:paraId="2B45826A" w14:textId="77777777" w:rsidR="002659C5" w:rsidRPr="00913892" w:rsidRDefault="002659C5" w:rsidP="005E4C30">
          <w:pPr>
            <w:pStyle w:val="ekvpaginabild"/>
            <w:jc w:val="both"/>
          </w:pPr>
          <w:r w:rsidRPr="00913892">
            <w:rPr>
              <w:noProof/>
              <w:lang w:eastAsia="de-DE"/>
            </w:rPr>
            <w:drawing>
              <wp:inline distT="0" distB="0" distL="0" distR="0" wp14:anchorId="0267C133" wp14:editId="616B754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4A8F0E1" w14:textId="278CFEAC" w:rsidR="002659C5" w:rsidRPr="00913892" w:rsidRDefault="002659C5" w:rsidP="00503EE6">
          <w:pPr>
            <w:pStyle w:val="ekvpagina"/>
          </w:pPr>
          <w:r w:rsidRPr="00913892">
            <w:t xml:space="preserve">© Ernst Klett Verlag GmbH, </w:t>
          </w:r>
          <w:r w:rsidR="00155564">
            <w:t>Stuttgart 20</w:t>
          </w:r>
          <w:r w:rsidR="006211B2">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02DAF73" w14:textId="1D3434A6" w:rsidR="002659C5" w:rsidRPr="00913892" w:rsidRDefault="006211B2" w:rsidP="004136AD">
          <w:pPr>
            <w:pStyle w:val="ekvquelle"/>
          </w:pPr>
          <w:r>
            <w:t>Autor</w:t>
          </w:r>
          <w:r w:rsidR="0025784A">
            <w:t>en</w:t>
          </w:r>
          <w:r>
            <w:t xml:space="preserve">: </w:t>
          </w:r>
          <w:r w:rsidR="0025784A" w:rsidRPr="0025784A">
            <w:t xml:space="preserve">Marcel </w:t>
          </w:r>
          <w:proofErr w:type="spellStart"/>
          <w:r w:rsidR="0025784A" w:rsidRPr="0025784A">
            <w:t>Humar</w:t>
          </w:r>
          <w:proofErr w:type="spellEnd"/>
          <w:r w:rsidR="0025784A" w:rsidRPr="0025784A">
            <w:t xml:space="preserve"> und Marc Oliver Lilienthal</w:t>
          </w:r>
        </w:p>
      </w:tc>
      <w:tc>
        <w:tcPr>
          <w:tcW w:w="813" w:type="dxa"/>
        </w:tcPr>
        <w:p w14:paraId="73B07BBB" w14:textId="77777777" w:rsidR="002659C5" w:rsidRPr="00913892" w:rsidRDefault="002659C5" w:rsidP="00913892">
          <w:pPr>
            <w:pStyle w:val="ekvpagina"/>
          </w:pPr>
        </w:p>
      </w:tc>
    </w:tr>
  </w:tbl>
  <w:p w14:paraId="7525E0E1"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9A71" w14:textId="77777777" w:rsidR="0025784A" w:rsidRDefault="002578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A1AE" w14:textId="77777777" w:rsidR="006211B2" w:rsidRDefault="006211B2" w:rsidP="003C599D">
      <w:pPr>
        <w:spacing w:line="240" w:lineRule="auto"/>
      </w:pPr>
      <w:r>
        <w:separator/>
      </w:r>
    </w:p>
  </w:footnote>
  <w:footnote w:type="continuationSeparator" w:id="0">
    <w:p w14:paraId="0E11B057" w14:textId="77777777" w:rsidR="006211B2" w:rsidRDefault="006211B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F072" w14:textId="77777777" w:rsidR="0025784A" w:rsidRDefault="002578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DBC8" w14:textId="77777777" w:rsidR="0025784A" w:rsidRDefault="0025784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C211" w14:textId="77777777" w:rsidR="0025784A" w:rsidRDefault="0025784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B2"/>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5784A"/>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C7E99"/>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11B2"/>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529C"/>
    <w:rsid w:val="008B446A"/>
    <w:rsid w:val="008B5E47"/>
    <w:rsid w:val="008B68A2"/>
    <w:rsid w:val="008C0880"/>
    <w:rsid w:val="008C27FD"/>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DE63A"/>
  <w15:chartTrackingRefBased/>
  <w15:docId w15:val="{031A56A4-391F-4228-B561-B8997418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2073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2023-07-24T10:56:00Z</dcterms:created>
  <dcterms:modified xsi:type="dcterms:W3CDTF">2023-07-26T05:52:00Z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