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tbl>
      <w:tblPr>
        <w:tblW w:w="11000" w:type="dxa"/>
        <w:tblInd w:w="-822" w:type="dxa"/>
        <w:tblBorders>
          <w:insideH w:val="single" w:sz="8" w:space="0" w:color="808080"/>
        </w:tblBorders>
        <w:tblLayout w:type="fixed"/>
        <w:tblLook w:val="01E0" w:firstRow="1" w:lastRow="1" w:firstColumn="1" w:lastColumn="1" w:noHBand="0" w:noVBand="0"/>
      </w:tblPr>
      <w:tblGrid>
        <w:gridCol w:w="819"/>
        <w:gridCol w:w="3854"/>
        <w:gridCol w:w="1320"/>
        <w:gridCol w:w="2040"/>
        <w:gridCol w:w="1301"/>
        <w:gridCol w:w="1666"/>
      </w:tblGrid>
      <w:tr w:rsidR="008A0AEC" w:rsidRPr="00C172AE" w14:paraId="7DD2AE4F" w14:textId="77777777" w:rsidTr="00B35D1C">
        <w:trPr>
          <w:trHeight w:hRule="exact" w:val="510"/>
        </w:trPr>
        <w:tc>
          <w:tcPr>
            <w:tcW w:w="819" w:type="dxa"/>
            <w:tcBorders>
              <w:top w:val="nil"/>
              <w:bottom w:val="nil"/>
              <w:right w:val="nil"/>
            </w:tcBorders>
            <w:noWrap/>
            <w:vAlign w:val="bottom"/>
          </w:tcPr>
          <w:p w14:paraId="4CDFF045" w14:textId="77777777" w:rsidR="008A0AEC" w:rsidRPr="00AE65F6" w:rsidRDefault="008A0AEC" w:rsidP="00F07323">
            <w:pPr>
              <w:pageBreakBefore/>
              <w:rPr>
                <w:color w:val="FFFFFF" w:themeColor="background1"/>
              </w:rPr>
            </w:pPr>
          </w:p>
        </w:tc>
        <w:tc>
          <w:tcPr>
            <w:tcW w:w="3854" w:type="dxa"/>
            <w:tcBorders>
              <w:top w:val="nil"/>
              <w:left w:val="nil"/>
              <w:bottom w:val="nil"/>
              <w:right w:val="nil"/>
            </w:tcBorders>
            <w:noWrap/>
            <w:vAlign w:val="bottom"/>
          </w:tcPr>
          <w:p w14:paraId="46116BB2" w14:textId="77777777" w:rsidR="008A0AEC" w:rsidRPr="007C1230" w:rsidRDefault="008A0AEC" w:rsidP="00F07323">
            <w:pPr>
              <w:pStyle w:val="ekvkolumnentitel"/>
            </w:pPr>
            <w:r w:rsidRPr="007C1230">
              <w:t>Name:</w:t>
            </w:r>
          </w:p>
        </w:tc>
        <w:tc>
          <w:tcPr>
            <w:tcW w:w="1320" w:type="dxa"/>
            <w:tcBorders>
              <w:top w:val="nil"/>
              <w:left w:val="nil"/>
              <w:bottom w:val="nil"/>
              <w:right w:val="nil"/>
            </w:tcBorders>
            <w:noWrap/>
            <w:vAlign w:val="bottom"/>
          </w:tcPr>
          <w:p w14:paraId="255D6355" w14:textId="77777777" w:rsidR="008A0AEC" w:rsidRPr="007C1230" w:rsidRDefault="008A0AEC" w:rsidP="00F07323">
            <w:pPr>
              <w:pStyle w:val="ekvkolumnentitel"/>
            </w:pPr>
            <w:r w:rsidRPr="007C1230">
              <w:t>Klasse:</w:t>
            </w:r>
          </w:p>
        </w:tc>
        <w:tc>
          <w:tcPr>
            <w:tcW w:w="2040" w:type="dxa"/>
            <w:tcBorders>
              <w:top w:val="nil"/>
              <w:left w:val="nil"/>
              <w:bottom w:val="nil"/>
              <w:right w:val="nil"/>
            </w:tcBorders>
            <w:noWrap/>
            <w:vAlign w:val="bottom"/>
          </w:tcPr>
          <w:p w14:paraId="0AB87B4A" w14:textId="77777777" w:rsidR="008A0AEC" w:rsidRPr="007C1230" w:rsidRDefault="008A0AEC" w:rsidP="00F07323">
            <w:pPr>
              <w:pStyle w:val="ekvkolumnentitel"/>
            </w:pPr>
            <w:r w:rsidRPr="007C1230">
              <w:t>Datum:</w:t>
            </w:r>
          </w:p>
        </w:tc>
        <w:tc>
          <w:tcPr>
            <w:tcW w:w="1301" w:type="dxa"/>
            <w:tcBorders>
              <w:top w:val="nil"/>
              <w:left w:val="nil"/>
              <w:bottom w:val="nil"/>
              <w:right w:val="nil"/>
            </w:tcBorders>
            <w:noWrap/>
            <w:vAlign w:val="bottom"/>
          </w:tcPr>
          <w:p w14:paraId="625E7D54" w14:textId="14EAA6F3" w:rsidR="008A0AEC" w:rsidRPr="007C1230" w:rsidRDefault="008A0AEC" w:rsidP="00420CAF">
            <w:pPr>
              <w:pStyle w:val="ekvkolumnentitel"/>
            </w:pPr>
            <w:r>
              <w:t xml:space="preserve">Seite 1 von </w:t>
            </w:r>
            <w:r w:rsidR="00C329CE">
              <w:t>3</w:t>
            </w:r>
          </w:p>
        </w:tc>
        <w:tc>
          <w:tcPr>
            <w:tcW w:w="1666" w:type="dxa"/>
            <w:tcBorders>
              <w:top w:val="nil"/>
              <w:left w:val="nil"/>
              <w:bottom w:val="single" w:sz="8" w:space="0" w:color="808080"/>
            </w:tcBorders>
            <w:noWrap/>
            <w:vAlign w:val="bottom"/>
          </w:tcPr>
          <w:p w14:paraId="5DFAE93D" w14:textId="77777777" w:rsidR="008A0AEC" w:rsidRPr="007636A0" w:rsidRDefault="008A0AEC" w:rsidP="00420CAF">
            <w:r>
              <w:t>Arbeits-</w:t>
            </w:r>
            <w:r>
              <w:br/>
              <w:t>blatt</w:t>
            </w:r>
          </w:p>
        </w:tc>
      </w:tr>
      <w:tr w:rsidR="008A0AEC" w:rsidRPr="00BF17F2" w14:paraId="5005D44E" w14:textId="77777777" w:rsidTr="00182964">
        <w:tblPrEx>
          <w:tblLook w:val="0000" w:firstRow="0" w:lastRow="0" w:firstColumn="0" w:lastColumn="0" w:noHBand="0" w:noVBand="0"/>
        </w:tblPrEx>
        <w:trPr>
          <w:trHeight w:hRule="exact" w:val="794"/>
        </w:trPr>
        <w:tc>
          <w:tcPr>
            <w:tcW w:w="819" w:type="dxa"/>
            <w:tcBorders>
              <w:bottom w:val="nil"/>
              <w:right w:val="nil"/>
            </w:tcBorders>
            <w:noWrap/>
            <w:vAlign w:val="bottom"/>
          </w:tcPr>
          <w:p w14:paraId="16761526" w14:textId="77777777" w:rsidR="008A0AEC" w:rsidRPr="00BF17F2" w:rsidRDefault="008A0AEC" w:rsidP="00F07323">
            <w:pPr>
              <w:rPr>
                <w:color w:val="FFFFFF" w:themeColor="background1"/>
              </w:rPr>
            </w:pPr>
          </w:p>
        </w:tc>
        <w:tc>
          <w:tcPr>
            <w:tcW w:w="8515" w:type="dxa"/>
            <w:gridSpan w:val="4"/>
            <w:tcBorders>
              <w:left w:val="nil"/>
              <w:bottom w:val="nil"/>
              <w:right w:val="nil"/>
            </w:tcBorders>
            <w:noWrap/>
            <w:vAlign w:val="bottom"/>
          </w:tcPr>
          <w:p w14:paraId="4B15FD70" w14:textId="77777777" w:rsidR="008A0AEC" w:rsidRPr="00BF17F2" w:rsidRDefault="008A0AEC" w:rsidP="00F07323">
            <w:pPr>
              <w:rPr>
                <w:color w:val="FFFFFF" w:themeColor="background1"/>
              </w:rPr>
            </w:pPr>
          </w:p>
        </w:tc>
        <w:tc>
          <w:tcPr>
            <w:tcW w:w="1666" w:type="dxa"/>
            <w:tcBorders>
              <w:top w:val="nil"/>
              <w:left w:val="nil"/>
              <w:bottom w:val="nil"/>
            </w:tcBorders>
          </w:tcPr>
          <w:p w14:paraId="25A89917" w14:textId="77777777" w:rsidR="008A0AEC" w:rsidRPr="00B35D1C" w:rsidRDefault="008A0AEC" w:rsidP="002E4656">
            <w:r>
              <w:rPr>
                <w:noProof/>
              </w:rPr>
              <w:drawing>
                <wp:anchor distT="0" distB="0" distL="114300" distR="114300" simplePos="0" relativeHeight="251659264" behindDoc="1" locked="0" layoutInCell="1" allowOverlap="1" wp14:anchorId="0AAEA315" wp14:editId="68B321EF">
                  <wp:simplePos x="0" y="0"/>
                  <wp:positionH relativeFrom="column">
                    <wp:posOffset>-74884</wp:posOffset>
                  </wp:positionH>
                  <wp:positionV relativeFrom="paragraph">
                    <wp:posOffset>-614180</wp:posOffset>
                  </wp:positionV>
                  <wp:extent cx="791845" cy="791845"/>
                  <wp:effectExtent l="0" t="0" r="8255" b="8255"/>
                  <wp:wrapNone/>
                  <wp:docPr id="91" name="Grafik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7">
                            <a:extLst>
                              <a:ext uri="{28A0092B-C50C-407E-A947-70E740481C1C}">
                                <a14:useLocalDpi xmlns:a14="http://schemas.microsoft.com/office/drawing/2010/main" val="0"/>
                              </a:ext>
                            </a:extLst>
                          </a:blip>
                          <a:stretch>
                            <a:fillRect/>
                          </a:stretch>
                        </pic:blipFill>
                        <pic:spPr>
                          <a:xfrm>
                            <a:off x="0" y="0"/>
                            <a:ext cx="791845" cy="791845"/>
                          </a:xfrm>
                          <a:prstGeom prst="rect">
                            <a:avLst/>
                          </a:prstGeom>
                        </pic:spPr>
                      </pic:pic>
                    </a:graphicData>
                  </a:graphic>
                  <wp14:sizeRelH relativeFrom="page">
                    <wp14:pctWidth>0</wp14:pctWidth>
                  </wp14:sizeRelH>
                  <wp14:sizeRelV relativeFrom="page">
                    <wp14:pctHeight>0</wp14:pctHeight>
                  </wp14:sizeRelV>
                </wp:anchor>
              </w:drawing>
            </w:r>
          </w:p>
        </w:tc>
      </w:tr>
    </w:tbl>
    <w:p w14:paraId="20F7261F" w14:textId="77777777" w:rsidR="008A0AEC" w:rsidRDefault="008A0AEC" w:rsidP="008A0AEC">
      <w:pPr>
        <w:pStyle w:val="ekvue1arial"/>
      </w:pPr>
      <w:r>
        <w:t xml:space="preserve">Kleist pragmatisch – </w:t>
      </w:r>
      <w:r w:rsidRPr="008A0AEC">
        <w:rPr>
          <w:rStyle w:val="ekvkursiv"/>
        </w:rPr>
        <w:t>Über die allmähliche Verfertigung der Gedanken beim Reden</w:t>
      </w:r>
    </w:p>
    <w:p w14:paraId="30C36EE6" w14:textId="77777777" w:rsidR="008A0AEC" w:rsidRDefault="008A0AEC" w:rsidP="008A0AEC">
      <w:pPr>
        <w:pStyle w:val="ekvue2arial"/>
      </w:pPr>
    </w:p>
    <w:p w14:paraId="0A287D88" w14:textId="582223C7" w:rsidR="00EF190C" w:rsidRDefault="008A0AEC" w:rsidP="008A0AEC">
      <w:pPr>
        <w:pStyle w:val="ekvue2arial"/>
      </w:pPr>
      <w:r>
        <w:t>Einen pragmatischen Text analysieren und erörtern</w:t>
      </w:r>
    </w:p>
    <w:p w14:paraId="20FA6D68" w14:textId="77777777" w:rsidR="008A0AEC" w:rsidRDefault="008A0AEC" w:rsidP="008A0AEC">
      <w:pPr>
        <w:pStyle w:val="ekvue2arial"/>
      </w:pPr>
    </w:p>
    <w:p w14:paraId="6B4FB9AD" w14:textId="77777777" w:rsidR="008A0AEC" w:rsidRDefault="008A0AEC" w:rsidP="008A0AEC">
      <w:pPr>
        <w:pStyle w:val="ekvue2arial"/>
      </w:pPr>
    </w:p>
    <w:p w14:paraId="429F0063" w14:textId="51971FB2" w:rsidR="008A0AEC" w:rsidRDefault="008A0AEC" w:rsidP="008A0AEC">
      <w:pPr>
        <w:pStyle w:val="ekvue3arial"/>
      </w:pPr>
      <w:r w:rsidRPr="008A0AEC">
        <w:t>Einstieg in die Thematik</w:t>
      </w:r>
    </w:p>
    <w:p w14:paraId="7FBC50BD" w14:textId="77777777" w:rsidR="008A0AEC" w:rsidRPr="008A0AEC" w:rsidRDefault="008A0AEC" w:rsidP="008A0AEC"/>
    <w:p w14:paraId="20614214" w14:textId="740D6C89" w:rsidR="008A0AEC" w:rsidRDefault="008A0AEC" w:rsidP="008A0AEC">
      <w:pPr>
        <w:pStyle w:val="ekvaufzhlung"/>
      </w:pPr>
      <w:r w:rsidRPr="008A0AEC">
        <w:rPr>
          <w:rStyle w:val="ekvnummerierung"/>
        </w:rPr>
        <w:t>1</w:t>
      </w:r>
      <w:r>
        <w:tab/>
      </w:r>
      <w:r w:rsidRPr="008A0AEC">
        <w:t>Formulieren Sie ein Schreiben, das Ihr verspätetes Eintreffen im Unterricht möglichst überzeugend entschuldigt.</w:t>
      </w:r>
    </w:p>
    <w:p w14:paraId="42A126F2" w14:textId="77777777" w:rsidR="00A22A6B" w:rsidRDefault="00A22A6B" w:rsidP="008A0AEC">
      <w:pPr>
        <w:pStyle w:val="ekvaufzhlung"/>
      </w:pPr>
    </w:p>
    <w:p w14:paraId="0D117FEA" w14:textId="77777777" w:rsidR="00A22A6B" w:rsidRPr="00A22A6B" w:rsidRDefault="00A22A6B" w:rsidP="00A22A6B">
      <w:pPr>
        <w:pStyle w:val="ekvschreiblinie"/>
        <w:rPr>
          <w:rStyle w:val="ekvhandschriftunterstrichen"/>
        </w:rPr>
      </w:pPr>
      <w:r w:rsidRPr="00A22A6B">
        <w:rPr>
          <w:rStyle w:val="ekvhandschriftunterstrichen"/>
        </w:rPr>
        <w:tab/>
      </w:r>
      <w:r w:rsidRPr="00A22A6B">
        <w:rPr>
          <w:rStyle w:val="ekvhandschriftunterstrichen"/>
        </w:rPr>
        <w:tab/>
      </w:r>
      <w:r w:rsidRPr="00A22A6B">
        <w:rPr>
          <w:rStyle w:val="ekvhandschriftunterstrichen"/>
        </w:rPr>
        <w:tab/>
      </w:r>
      <w:r w:rsidRPr="00A22A6B">
        <w:rPr>
          <w:rStyle w:val="ekvhandschriftunterstrichen"/>
        </w:rPr>
        <w:tab/>
      </w:r>
    </w:p>
    <w:p w14:paraId="6C2960BB" w14:textId="77777777" w:rsidR="00A22A6B" w:rsidRPr="00A22A6B" w:rsidRDefault="00A22A6B" w:rsidP="00A22A6B">
      <w:pPr>
        <w:pStyle w:val="ekvschreiblinie"/>
        <w:rPr>
          <w:rStyle w:val="ekvhandschriftunterstrichen"/>
        </w:rPr>
      </w:pPr>
      <w:r w:rsidRPr="00A22A6B">
        <w:rPr>
          <w:rStyle w:val="ekvhandschriftunterstrichen"/>
        </w:rPr>
        <w:tab/>
      </w:r>
      <w:r w:rsidRPr="00A22A6B">
        <w:rPr>
          <w:rStyle w:val="ekvhandschriftunterstrichen"/>
        </w:rPr>
        <w:tab/>
      </w:r>
      <w:r w:rsidRPr="00A22A6B">
        <w:rPr>
          <w:rStyle w:val="ekvhandschriftunterstrichen"/>
        </w:rPr>
        <w:tab/>
      </w:r>
      <w:r w:rsidRPr="00A22A6B">
        <w:rPr>
          <w:rStyle w:val="ekvhandschriftunterstrichen"/>
        </w:rPr>
        <w:tab/>
      </w:r>
    </w:p>
    <w:p w14:paraId="4BB26423" w14:textId="77777777" w:rsidR="00A22A6B" w:rsidRPr="00A22A6B" w:rsidRDefault="00A22A6B" w:rsidP="00A22A6B">
      <w:pPr>
        <w:pStyle w:val="ekvschreiblinie"/>
        <w:rPr>
          <w:rStyle w:val="ekvhandschriftunterstrichen"/>
        </w:rPr>
      </w:pPr>
      <w:r w:rsidRPr="00A22A6B">
        <w:rPr>
          <w:rStyle w:val="ekvhandschriftunterstrichen"/>
        </w:rPr>
        <w:tab/>
      </w:r>
      <w:r w:rsidRPr="00A22A6B">
        <w:rPr>
          <w:rStyle w:val="ekvhandschriftunterstrichen"/>
        </w:rPr>
        <w:tab/>
      </w:r>
      <w:r w:rsidRPr="00A22A6B">
        <w:rPr>
          <w:rStyle w:val="ekvhandschriftunterstrichen"/>
        </w:rPr>
        <w:tab/>
      </w:r>
      <w:r w:rsidRPr="00A22A6B">
        <w:rPr>
          <w:rStyle w:val="ekvhandschriftunterstrichen"/>
        </w:rPr>
        <w:tab/>
      </w:r>
    </w:p>
    <w:p w14:paraId="61DA4A72" w14:textId="77777777" w:rsidR="00A22A6B" w:rsidRPr="00A22A6B" w:rsidRDefault="00A22A6B" w:rsidP="00A22A6B">
      <w:pPr>
        <w:pStyle w:val="ekvschreiblinie"/>
        <w:rPr>
          <w:rStyle w:val="ekvhandschriftunterstrichen"/>
        </w:rPr>
      </w:pPr>
      <w:r w:rsidRPr="00A22A6B">
        <w:rPr>
          <w:rStyle w:val="ekvhandschriftunterstrichen"/>
        </w:rPr>
        <w:tab/>
      </w:r>
      <w:r w:rsidRPr="00A22A6B">
        <w:rPr>
          <w:rStyle w:val="ekvhandschriftunterstrichen"/>
        </w:rPr>
        <w:tab/>
      </w:r>
      <w:r w:rsidRPr="00A22A6B">
        <w:rPr>
          <w:rStyle w:val="ekvhandschriftunterstrichen"/>
        </w:rPr>
        <w:tab/>
      </w:r>
      <w:r w:rsidRPr="00A22A6B">
        <w:rPr>
          <w:rStyle w:val="ekvhandschriftunterstrichen"/>
        </w:rPr>
        <w:tab/>
      </w:r>
    </w:p>
    <w:p w14:paraId="5291BF29" w14:textId="77777777" w:rsidR="00A22A6B" w:rsidRPr="00A22A6B" w:rsidRDefault="00A22A6B" w:rsidP="00A22A6B">
      <w:pPr>
        <w:pStyle w:val="ekvschreiblinie"/>
        <w:rPr>
          <w:rStyle w:val="ekvhandschriftunterstrichen"/>
        </w:rPr>
      </w:pPr>
      <w:r w:rsidRPr="00A22A6B">
        <w:rPr>
          <w:rStyle w:val="ekvhandschriftunterstrichen"/>
        </w:rPr>
        <w:tab/>
      </w:r>
      <w:r w:rsidRPr="00A22A6B">
        <w:rPr>
          <w:rStyle w:val="ekvhandschriftunterstrichen"/>
        </w:rPr>
        <w:tab/>
      </w:r>
      <w:r w:rsidRPr="00A22A6B">
        <w:rPr>
          <w:rStyle w:val="ekvhandschriftunterstrichen"/>
        </w:rPr>
        <w:tab/>
      </w:r>
      <w:r w:rsidRPr="00A22A6B">
        <w:rPr>
          <w:rStyle w:val="ekvhandschriftunterstrichen"/>
        </w:rPr>
        <w:tab/>
      </w:r>
    </w:p>
    <w:p w14:paraId="080F82E8" w14:textId="77777777" w:rsidR="008A0AEC" w:rsidRDefault="008A0AEC" w:rsidP="008A0AEC"/>
    <w:p w14:paraId="7990B894" w14:textId="77777777" w:rsidR="00A22A6B" w:rsidRDefault="00A22A6B" w:rsidP="008A0AEC"/>
    <w:p w14:paraId="1F559271" w14:textId="4A6A65F8" w:rsidR="008A0AEC" w:rsidRDefault="008A0AEC" w:rsidP="008A0AEC">
      <w:pPr>
        <w:pStyle w:val="ekvaufzhlung"/>
      </w:pPr>
      <w:r w:rsidRPr="008A0AEC">
        <w:rPr>
          <w:rStyle w:val="ekvnummerierung"/>
        </w:rPr>
        <w:t>2</w:t>
      </w:r>
      <w:r>
        <w:tab/>
      </w:r>
      <w:r w:rsidRPr="008A0AEC">
        <w:t>Diskutieren Sie anschließend miteinander, wie Sie auf Ihre Ausreden gekommen sind. Was war zuerst da, der Gedanke oder die sprachliche Formulierung?</w:t>
      </w:r>
    </w:p>
    <w:p w14:paraId="4F01BBEB" w14:textId="77777777" w:rsidR="008A0AEC" w:rsidRDefault="008A0AEC" w:rsidP="008A0AEC">
      <w:pPr>
        <w:pStyle w:val="ekvaufzhlung"/>
      </w:pPr>
    </w:p>
    <w:p w14:paraId="07F21C37" w14:textId="77777777" w:rsidR="008A0AEC" w:rsidRDefault="008A0AEC" w:rsidP="008A0AEC">
      <w:pPr>
        <w:pStyle w:val="ekvaufzhlung"/>
      </w:pPr>
    </w:p>
    <w:p w14:paraId="7082000C" w14:textId="4FB5BE05" w:rsidR="008A0AEC" w:rsidRDefault="008A0AEC" w:rsidP="008A0AEC">
      <w:pPr>
        <w:pStyle w:val="ekvue3arial"/>
      </w:pPr>
      <w:r w:rsidRPr="008A0AEC">
        <w:t>Textarbeit</w:t>
      </w:r>
    </w:p>
    <w:p w14:paraId="3FE5CDDB" w14:textId="77777777" w:rsidR="008A0AEC" w:rsidRDefault="008A0AEC" w:rsidP="008A0AEC"/>
    <w:p w14:paraId="6F745CD5" w14:textId="73DB241E" w:rsidR="00C329CE" w:rsidRDefault="00C329CE" w:rsidP="00F07323">
      <w:pPr>
        <w:pStyle w:val="ekvboxtext"/>
      </w:pPr>
      <w:r w:rsidRPr="00C329CE">
        <w:t xml:space="preserve">Die folgenden Auszüge aus Kleists Aufsatz </w:t>
      </w:r>
      <w:r w:rsidRPr="00C329CE">
        <w:rPr>
          <w:rStyle w:val="ekvkursiv"/>
        </w:rPr>
        <w:t xml:space="preserve">Über die </w:t>
      </w:r>
      <w:r w:rsidR="00755513" w:rsidRPr="00755513">
        <w:rPr>
          <w:rStyle w:val="ekvkursiv"/>
        </w:rPr>
        <w:t>allmähliche</w:t>
      </w:r>
      <w:r w:rsidR="00755513" w:rsidRPr="00755513">
        <w:rPr>
          <w:rStyle w:val="ekvkursiv"/>
        </w:rPr>
        <w:t xml:space="preserve"> </w:t>
      </w:r>
      <w:r w:rsidRPr="00C329CE">
        <w:rPr>
          <w:rStyle w:val="ekvkursiv"/>
        </w:rPr>
        <w:t>Verfertigung der Gedanken beim Reden</w:t>
      </w:r>
      <w:r w:rsidRPr="00C329CE">
        <w:t xml:space="preserve"> werden jeweils ergänzt durch Erläuterungen aus einer wissenschaftlichen Analyse.</w:t>
      </w:r>
    </w:p>
    <w:p w14:paraId="097487E0" w14:textId="77777777" w:rsidR="008A0AEC" w:rsidRDefault="008A0AEC" w:rsidP="008A0AEC"/>
    <w:p w14:paraId="0B21029C" w14:textId="10BA3C78" w:rsidR="00C329CE" w:rsidRDefault="00C329CE" w:rsidP="00C329CE">
      <w:pPr>
        <w:pStyle w:val="ekvaufzhlung"/>
      </w:pPr>
      <w:r w:rsidRPr="00C329CE">
        <w:rPr>
          <w:rStyle w:val="ekvnummerierung"/>
        </w:rPr>
        <w:t>1</w:t>
      </w:r>
      <w:r>
        <w:tab/>
        <w:t xml:space="preserve">Lesen Sie die Ausschnitte aus Kleists Aufsatz und aus der wissenschaftlichen Analyse jeweils im Zusammenhang. </w:t>
      </w:r>
    </w:p>
    <w:p w14:paraId="0C6DC11D" w14:textId="2CD83272" w:rsidR="00C329CE" w:rsidRDefault="00C329CE" w:rsidP="00C329CE">
      <w:pPr>
        <w:pStyle w:val="ekvaufzhlung1"/>
      </w:pPr>
      <w:r>
        <w:t>•</w:t>
      </w:r>
      <w:r>
        <w:tab/>
        <w:t>Recherchieren Sie gegebenenfalls über die Bedeutung</w:t>
      </w:r>
      <w:r w:rsidR="00755513">
        <w:t>en</w:t>
      </w:r>
      <w:r>
        <w:t xml:space="preserve"> von Begriffen, die Ihnen unbekannt sind.</w:t>
      </w:r>
    </w:p>
    <w:p w14:paraId="69962FFA" w14:textId="77777777" w:rsidR="00C329CE" w:rsidRDefault="00C329CE" w:rsidP="00C329CE">
      <w:pPr>
        <w:pStyle w:val="ekvaufzhlung1"/>
      </w:pPr>
      <w:r>
        <w:t>•</w:t>
      </w:r>
      <w:r>
        <w:tab/>
        <w:t>Leiten Sie aus der Kombination der Texte jeweils die Argumentation Kleists ab und formulieren Sie seine Aussagen in eigenen Worten.</w:t>
      </w:r>
    </w:p>
    <w:p w14:paraId="488B8E22" w14:textId="41BB7DBC" w:rsidR="00C329CE" w:rsidRDefault="00C329CE" w:rsidP="00C329CE">
      <w:pPr>
        <w:pStyle w:val="ekvaufzhlung1"/>
      </w:pPr>
      <w:r>
        <w:t>•</w:t>
      </w:r>
      <w:r>
        <w:tab/>
        <w:t>Formulieren Sie abschließend Kleists Denkmodell als zusammenhängenden Text.</w:t>
      </w:r>
    </w:p>
    <w:p w14:paraId="49A6774C" w14:textId="77777777" w:rsidR="00C329CE" w:rsidRPr="00C329CE" w:rsidRDefault="00C329CE" w:rsidP="00C329CE"/>
    <w:p w14:paraId="114BC5A3" w14:textId="77777777" w:rsidR="00C329CE" w:rsidRPr="00C329CE" w:rsidRDefault="00C329CE" w:rsidP="00C329CE"/>
    <w:p w14:paraId="7D8E7FB9" w14:textId="6F13FE33" w:rsidR="00C329CE" w:rsidRDefault="00C329CE" w:rsidP="00C329CE">
      <w:pPr>
        <w:pStyle w:val="ekvue3arial"/>
      </w:pPr>
      <w:r w:rsidRPr="00C329CE">
        <w:t>Auszug 1</w:t>
      </w:r>
    </w:p>
    <w:p w14:paraId="7A1C9D93" w14:textId="77777777" w:rsidR="00C329CE" w:rsidRDefault="00C329CE" w:rsidP="00C329CE"/>
    <w:p w14:paraId="4DE8D4D0" w14:textId="7416B74C" w:rsidR="00C329CE" w:rsidRDefault="00C329CE" w:rsidP="00C329CE">
      <w:pPr>
        <w:pStyle w:val="ekvgrundtexttimes"/>
      </w:pPr>
      <w:r w:rsidRPr="00C329CE">
        <w:t>Ich glaube, dass mancher große Redner, in dem Augenblick, da er den Mund aufmachte, noch nicht wusste, was er sagen würde. Aber die Überzeugung, dass er die ihm nötige Gedankenfülle schon aus den Umständen, und der daraus resultierenden Erregung seines Gemüts schöpfen würde, machte ihn dreist genug, den Anfang, auf gutes Glück hin, zu setzen. (Z. 60</w:t>
      </w:r>
      <w:r>
        <w:t>–</w:t>
      </w:r>
      <w:r w:rsidRPr="00C329CE">
        <w:t>66)</w:t>
      </w:r>
    </w:p>
    <w:p w14:paraId="400D9BE0" w14:textId="77777777" w:rsidR="00C329CE" w:rsidRDefault="00C329CE" w:rsidP="00C329CE"/>
    <w:p w14:paraId="72EE432B" w14:textId="51664B9C" w:rsidR="00C329CE" w:rsidRDefault="00C329CE" w:rsidP="00A22A6B">
      <w:pPr>
        <w:pStyle w:val="ekvgrundtexttimes"/>
        <w:rPr>
          <w:rStyle w:val="ekvkursiv"/>
        </w:rPr>
      </w:pPr>
      <w:r w:rsidRPr="00C329CE">
        <w:rPr>
          <w:rStyle w:val="ekvkursiv"/>
        </w:rPr>
        <w:t xml:space="preserve">Kleists Abhandlung „Über die </w:t>
      </w:r>
      <w:r w:rsidR="00755513" w:rsidRPr="00755513">
        <w:rPr>
          <w:rStyle w:val="ekvkursiv"/>
        </w:rPr>
        <w:t>allmähliche</w:t>
      </w:r>
      <w:r w:rsidR="00755513" w:rsidRPr="00755513">
        <w:rPr>
          <w:rStyle w:val="ekvkursiv"/>
        </w:rPr>
        <w:t xml:space="preserve"> </w:t>
      </w:r>
      <w:r w:rsidRPr="00C329CE">
        <w:rPr>
          <w:rStyle w:val="ekvkursiv"/>
        </w:rPr>
        <w:t>Verfertigung der Gedanken beim Reden“ thematisiert einen zentralen Aspekt der Rhetorik, das Verhältnis von Bezeichnetem und Bezeichnendem. Üblicherweise geht man in der klassischen Rhetoriklehre davon aus, dass dem sprachlichen Ausdruck einer Sache die Vorstellung davon, der Gedanke, vorausgeht. Für Kleist hingegen stehen Denken und Reden in einem dialektischen Wechselverhältnis, das sich im Durchgang durch das Medium erst manifestiert.</w:t>
      </w:r>
    </w:p>
    <w:tbl>
      <w:tblPr>
        <w:tblW w:w="11000" w:type="dxa"/>
        <w:tblInd w:w="-822" w:type="dxa"/>
        <w:tblBorders>
          <w:insideH w:val="single" w:sz="8" w:space="0" w:color="808080"/>
        </w:tblBorders>
        <w:tblLayout w:type="fixed"/>
        <w:tblLook w:val="01E0" w:firstRow="1" w:lastRow="1" w:firstColumn="1" w:lastColumn="1" w:noHBand="0" w:noVBand="0"/>
      </w:tblPr>
      <w:tblGrid>
        <w:gridCol w:w="819"/>
        <w:gridCol w:w="3854"/>
        <w:gridCol w:w="1320"/>
        <w:gridCol w:w="2040"/>
        <w:gridCol w:w="1301"/>
        <w:gridCol w:w="1666"/>
      </w:tblGrid>
      <w:tr w:rsidR="00C329CE" w:rsidRPr="00C172AE" w14:paraId="7A934996" w14:textId="77777777" w:rsidTr="00B35D1C">
        <w:trPr>
          <w:trHeight w:hRule="exact" w:val="510"/>
        </w:trPr>
        <w:tc>
          <w:tcPr>
            <w:tcW w:w="819" w:type="dxa"/>
            <w:tcBorders>
              <w:top w:val="nil"/>
              <w:bottom w:val="nil"/>
              <w:right w:val="nil"/>
            </w:tcBorders>
            <w:noWrap/>
            <w:vAlign w:val="bottom"/>
          </w:tcPr>
          <w:p w14:paraId="42DFABA1" w14:textId="77777777" w:rsidR="00C329CE" w:rsidRPr="00AE65F6" w:rsidRDefault="00C329CE" w:rsidP="00F07323">
            <w:pPr>
              <w:pageBreakBefore/>
              <w:rPr>
                <w:color w:val="FFFFFF" w:themeColor="background1"/>
              </w:rPr>
            </w:pPr>
          </w:p>
        </w:tc>
        <w:tc>
          <w:tcPr>
            <w:tcW w:w="3854" w:type="dxa"/>
            <w:tcBorders>
              <w:top w:val="nil"/>
              <w:left w:val="nil"/>
              <w:bottom w:val="nil"/>
              <w:right w:val="nil"/>
            </w:tcBorders>
            <w:noWrap/>
            <w:vAlign w:val="bottom"/>
          </w:tcPr>
          <w:p w14:paraId="19C80F11" w14:textId="77777777" w:rsidR="00C329CE" w:rsidRPr="007C1230" w:rsidRDefault="00C329CE" w:rsidP="00F07323">
            <w:pPr>
              <w:pStyle w:val="ekvkolumnentitel"/>
            </w:pPr>
            <w:r w:rsidRPr="007C1230">
              <w:t>Name:</w:t>
            </w:r>
          </w:p>
        </w:tc>
        <w:tc>
          <w:tcPr>
            <w:tcW w:w="1320" w:type="dxa"/>
            <w:tcBorders>
              <w:top w:val="nil"/>
              <w:left w:val="nil"/>
              <w:bottom w:val="nil"/>
              <w:right w:val="nil"/>
            </w:tcBorders>
            <w:noWrap/>
            <w:vAlign w:val="bottom"/>
          </w:tcPr>
          <w:p w14:paraId="2AF6AEE8" w14:textId="77777777" w:rsidR="00C329CE" w:rsidRPr="007C1230" w:rsidRDefault="00C329CE" w:rsidP="00F07323">
            <w:pPr>
              <w:pStyle w:val="ekvkolumnentitel"/>
            </w:pPr>
            <w:r w:rsidRPr="007C1230">
              <w:t>Klasse:</w:t>
            </w:r>
          </w:p>
        </w:tc>
        <w:tc>
          <w:tcPr>
            <w:tcW w:w="2040" w:type="dxa"/>
            <w:tcBorders>
              <w:top w:val="nil"/>
              <w:left w:val="nil"/>
              <w:bottom w:val="nil"/>
              <w:right w:val="nil"/>
            </w:tcBorders>
            <w:noWrap/>
            <w:vAlign w:val="bottom"/>
          </w:tcPr>
          <w:p w14:paraId="54A0C8CE" w14:textId="77777777" w:rsidR="00C329CE" w:rsidRPr="007C1230" w:rsidRDefault="00C329CE" w:rsidP="00F07323">
            <w:pPr>
              <w:pStyle w:val="ekvkolumnentitel"/>
            </w:pPr>
            <w:r w:rsidRPr="007C1230">
              <w:t>Datum:</w:t>
            </w:r>
          </w:p>
        </w:tc>
        <w:tc>
          <w:tcPr>
            <w:tcW w:w="1301" w:type="dxa"/>
            <w:tcBorders>
              <w:top w:val="nil"/>
              <w:left w:val="nil"/>
              <w:bottom w:val="nil"/>
              <w:right w:val="nil"/>
            </w:tcBorders>
            <w:noWrap/>
            <w:vAlign w:val="bottom"/>
          </w:tcPr>
          <w:p w14:paraId="37446E76" w14:textId="63156EE1" w:rsidR="00C329CE" w:rsidRPr="007C1230" w:rsidRDefault="00C329CE" w:rsidP="00420CAF">
            <w:pPr>
              <w:pStyle w:val="ekvkolumnentitel"/>
            </w:pPr>
            <w:r>
              <w:t>Seite 2 von 3</w:t>
            </w:r>
          </w:p>
        </w:tc>
        <w:tc>
          <w:tcPr>
            <w:tcW w:w="1666" w:type="dxa"/>
            <w:tcBorders>
              <w:top w:val="nil"/>
              <w:left w:val="nil"/>
              <w:bottom w:val="single" w:sz="8" w:space="0" w:color="808080"/>
            </w:tcBorders>
            <w:noWrap/>
            <w:vAlign w:val="bottom"/>
          </w:tcPr>
          <w:p w14:paraId="574E86B9" w14:textId="77777777" w:rsidR="00C329CE" w:rsidRPr="007636A0" w:rsidRDefault="00C329CE" w:rsidP="00420CAF">
            <w:r>
              <w:t>Arbeits-</w:t>
            </w:r>
            <w:r>
              <w:br/>
              <w:t>blatt</w:t>
            </w:r>
          </w:p>
        </w:tc>
      </w:tr>
      <w:tr w:rsidR="00C329CE" w:rsidRPr="00BF17F2" w14:paraId="2CDB056F" w14:textId="77777777" w:rsidTr="00182964">
        <w:tblPrEx>
          <w:tblLook w:val="0000" w:firstRow="0" w:lastRow="0" w:firstColumn="0" w:lastColumn="0" w:noHBand="0" w:noVBand="0"/>
        </w:tblPrEx>
        <w:trPr>
          <w:trHeight w:hRule="exact" w:val="794"/>
        </w:trPr>
        <w:tc>
          <w:tcPr>
            <w:tcW w:w="819" w:type="dxa"/>
            <w:tcBorders>
              <w:bottom w:val="nil"/>
              <w:right w:val="nil"/>
            </w:tcBorders>
            <w:noWrap/>
            <w:vAlign w:val="bottom"/>
          </w:tcPr>
          <w:p w14:paraId="7F7AEC49" w14:textId="77777777" w:rsidR="00C329CE" w:rsidRPr="00BF17F2" w:rsidRDefault="00C329CE" w:rsidP="00F07323">
            <w:pPr>
              <w:rPr>
                <w:color w:val="FFFFFF" w:themeColor="background1"/>
              </w:rPr>
            </w:pPr>
          </w:p>
        </w:tc>
        <w:tc>
          <w:tcPr>
            <w:tcW w:w="8515" w:type="dxa"/>
            <w:gridSpan w:val="4"/>
            <w:tcBorders>
              <w:left w:val="nil"/>
              <w:bottom w:val="nil"/>
              <w:right w:val="nil"/>
            </w:tcBorders>
            <w:noWrap/>
            <w:vAlign w:val="bottom"/>
          </w:tcPr>
          <w:p w14:paraId="29C7A2D5" w14:textId="77777777" w:rsidR="00C329CE" w:rsidRPr="00BF17F2" w:rsidRDefault="00C329CE" w:rsidP="00F07323">
            <w:pPr>
              <w:rPr>
                <w:color w:val="FFFFFF" w:themeColor="background1"/>
              </w:rPr>
            </w:pPr>
          </w:p>
        </w:tc>
        <w:tc>
          <w:tcPr>
            <w:tcW w:w="1666" w:type="dxa"/>
            <w:tcBorders>
              <w:top w:val="nil"/>
              <w:left w:val="nil"/>
              <w:bottom w:val="nil"/>
            </w:tcBorders>
          </w:tcPr>
          <w:p w14:paraId="6ABE9806" w14:textId="77777777" w:rsidR="00C329CE" w:rsidRPr="00B35D1C" w:rsidRDefault="00C329CE" w:rsidP="002E4656">
            <w:r>
              <w:rPr>
                <w:noProof/>
              </w:rPr>
              <w:drawing>
                <wp:anchor distT="0" distB="0" distL="114300" distR="114300" simplePos="0" relativeHeight="251661312" behindDoc="1" locked="0" layoutInCell="1" allowOverlap="1" wp14:anchorId="696C3256" wp14:editId="76D4043A">
                  <wp:simplePos x="0" y="0"/>
                  <wp:positionH relativeFrom="column">
                    <wp:posOffset>-74884</wp:posOffset>
                  </wp:positionH>
                  <wp:positionV relativeFrom="paragraph">
                    <wp:posOffset>-614180</wp:posOffset>
                  </wp:positionV>
                  <wp:extent cx="791845" cy="791845"/>
                  <wp:effectExtent l="0" t="0" r="8255" b="8255"/>
                  <wp:wrapNone/>
                  <wp:docPr id="1808069556" name="Grafik 18080695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7">
                            <a:extLst>
                              <a:ext uri="{28A0092B-C50C-407E-A947-70E740481C1C}">
                                <a14:useLocalDpi xmlns:a14="http://schemas.microsoft.com/office/drawing/2010/main" val="0"/>
                              </a:ext>
                            </a:extLst>
                          </a:blip>
                          <a:stretch>
                            <a:fillRect/>
                          </a:stretch>
                        </pic:blipFill>
                        <pic:spPr>
                          <a:xfrm>
                            <a:off x="0" y="0"/>
                            <a:ext cx="791845" cy="791845"/>
                          </a:xfrm>
                          <a:prstGeom prst="rect">
                            <a:avLst/>
                          </a:prstGeom>
                        </pic:spPr>
                      </pic:pic>
                    </a:graphicData>
                  </a:graphic>
                  <wp14:sizeRelH relativeFrom="page">
                    <wp14:pctWidth>0</wp14:pctWidth>
                  </wp14:sizeRelH>
                  <wp14:sizeRelV relativeFrom="page">
                    <wp14:pctHeight>0</wp14:pctHeight>
                  </wp14:sizeRelV>
                </wp:anchor>
              </w:drawing>
            </w:r>
          </w:p>
        </w:tc>
      </w:tr>
    </w:tbl>
    <w:p w14:paraId="251999F9" w14:textId="77777777" w:rsidR="00A22A6B" w:rsidRDefault="00A22A6B" w:rsidP="00A22A6B">
      <w:pPr>
        <w:pStyle w:val="ekvue3arial"/>
      </w:pPr>
      <w:r w:rsidRPr="00C329CE">
        <w:t xml:space="preserve">Auszug </w:t>
      </w:r>
      <w:r>
        <w:t>2</w:t>
      </w:r>
    </w:p>
    <w:p w14:paraId="6234BBD9" w14:textId="77777777" w:rsidR="00A22A6B" w:rsidRDefault="00A22A6B" w:rsidP="00A22A6B"/>
    <w:p w14:paraId="1C175E3C" w14:textId="77777777" w:rsidR="00A22A6B" w:rsidRDefault="00A22A6B" w:rsidP="00A22A6B">
      <w:pPr>
        <w:pStyle w:val="ekvgrundtexttimes"/>
      </w:pPr>
      <w:r w:rsidRPr="00C329CE">
        <w:t>Denn nicht wir wissen, es ist allererst ein gewisser Zustand unsrer, welcher weiß. (Z. 186</w:t>
      </w:r>
      <w:r>
        <w:t>–</w:t>
      </w:r>
      <w:r w:rsidRPr="00C329CE">
        <w:t>188)</w:t>
      </w:r>
    </w:p>
    <w:p w14:paraId="4786D493" w14:textId="77777777" w:rsidR="00A22A6B" w:rsidRPr="00C329CE" w:rsidRDefault="00A22A6B" w:rsidP="00A22A6B"/>
    <w:p w14:paraId="1A95EEC3" w14:textId="77777777" w:rsidR="00A22A6B" w:rsidRDefault="00A22A6B" w:rsidP="00A22A6B">
      <w:pPr>
        <w:pStyle w:val="ekvgrundtexttimes"/>
        <w:rPr>
          <w:rStyle w:val="ekvkursiv"/>
        </w:rPr>
      </w:pPr>
      <w:r w:rsidRPr="00C329CE">
        <w:rPr>
          <w:rStyle w:val="ekvkursiv"/>
        </w:rPr>
        <w:t>Wissen ist also weder Mimesis noch das Produkt einer bestimmten Geisteshaltung. Es entsteht als Ergebnis eines Zustands, in dem sich das Individuum selbst befindet.</w:t>
      </w:r>
    </w:p>
    <w:p w14:paraId="04F55CC6" w14:textId="77777777" w:rsidR="00A22A6B" w:rsidRDefault="00A22A6B" w:rsidP="00A22A6B"/>
    <w:p w14:paraId="53F4D8AB" w14:textId="77777777" w:rsidR="00A22A6B" w:rsidRDefault="00A22A6B" w:rsidP="00A22A6B">
      <w:pPr>
        <w:pStyle w:val="ekvgrundtexthalbe"/>
      </w:pPr>
    </w:p>
    <w:p w14:paraId="64FA9898" w14:textId="499AF6F7" w:rsidR="00C329CE" w:rsidRDefault="00C329CE" w:rsidP="00C329CE">
      <w:pPr>
        <w:pStyle w:val="ekvue3arial"/>
      </w:pPr>
      <w:r w:rsidRPr="00C329CE">
        <w:t xml:space="preserve">Auszug </w:t>
      </w:r>
      <w:r>
        <w:t>3</w:t>
      </w:r>
    </w:p>
    <w:p w14:paraId="7CBCDBAE" w14:textId="77777777" w:rsidR="00C329CE" w:rsidRDefault="00C329CE" w:rsidP="00C329CE"/>
    <w:p w14:paraId="74448D0E" w14:textId="0F02E546" w:rsidR="00C329CE" w:rsidRDefault="00C329CE" w:rsidP="00C329CE">
      <w:pPr>
        <w:pStyle w:val="ekvgrundtexttimes"/>
      </w:pPr>
      <w:r w:rsidRPr="00C329CE">
        <w:t>Wenn du etwas wissen willst und es durch Meditation nicht finden kannst, so rate ich dir, mein lieber, sinnreicher Freund, mit dem nächsten Bekannten, der dir aufstößt, darüber zu sprechen. (Z. 3</w:t>
      </w:r>
      <w:r>
        <w:t>–</w:t>
      </w:r>
      <w:r w:rsidRPr="00C329CE">
        <w:t>6)</w:t>
      </w:r>
    </w:p>
    <w:p w14:paraId="04E45331" w14:textId="77777777" w:rsidR="00C329CE" w:rsidRPr="00C329CE" w:rsidRDefault="00C329CE" w:rsidP="00C329CE"/>
    <w:p w14:paraId="36E1EB0F" w14:textId="79BFE277" w:rsidR="00C329CE" w:rsidRDefault="00C329CE" w:rsidP="00C329CE">
      <w:pPr>
        <w:rPr>
          <w:rStyle w:val="ekvkursiv"/>
          <w:rFonts w:ascii="Times New Roman" w:hAnsi="Times New Roman"/>
          <w:sz w:val="21"/>
        </w:rPr>
      </w:pPr>
      <w:r w:rsidRPr="00C329CE">
        <w:rPr>
          <w:rStyle w:val="ekvkursiv"/>
          <w:rFonts w:ascii="Times New Roman" w:hAnsi="Times New Roman"/>
          <w:sz w:val="21"/>
        </w:rPr>
        <w:t>Im Gegensatz zum wissenschaftlichen Erkennen, das auf vorhandenen Erfahrungen und Erkenntnissen beruht, propagiert Kleist die Flucht in die Sprache. Im Akt des Redens mit einer anderen Person kristallisiert der bereits vorhandene Zustand allmählich zur Selbsterkenntnis.</w:t>
      </w:r>
    </w:p>
    <w:p w14:paraId="4232D7DC" w14:textId="77777777" w:rsidR="00C329CE" w:rsidRDefault="00C329CE" w:rsidP="00C329CE"/>
    <w:p w14:paraId="338FF993" w14:textId="77777777" w:rsidR="00C329CE" w:rsidRDefault="00C329CE" w:rsidP="00C329CE">
      <w:pPr>
        <w:pStyle w:val="ekvgrundtexthalbe"/>
      </w:pPr>
    </w:p>
    <w:p w14:paraId="35665066" w14:textId="7CA745BB" w:rsidR="00C329CE" w:rsidRDefault="00C329CE" w:rsidP="00C329CE">
      <w:pPr>
        <w:pStyle w:val="ekvue3arial"/>
      </w:pPr>
      <w:r w:rsidRPr="00C329CE">
        <w:t xml:space="preserve">Auszug </w:t>
      </w:r>
      <w:r>
        <w:t>4</w:t>
      </w:r>
    </w:p>
    <w:p w14:paraId="31272449" w14:textId="77777777" w:rsidR="00C329CE" w:rsidRDefault="00C329CE" w:rsidP="00C329CE"/>
    <w:p w14:paraId="5066EAFF" w14:textId="3C7775C9" w:rsidR="00C329CE" w:rsidRDefault="00C329CE" w:rsidP="00C329CE">
      <w:pPr>
        <w:rPr>
          <w:rFonts w:ascii="Times New Roman" w:hAnsi="Times New Roman"/>
          <w:sz w:val="21"/>
        </w:rPr>
      </w:pPr>
      <w:r w:rsidRPr="00C329CE">
        <w:rPr>
          <w:rFonts w:ascii="Times New Roman" w:hAnsi="Times New Roman"/>
          <w:sz w:val="21"/>
        </w:rPr>
        <w:t>Aber weil ich doch irgendeine dunkle Vorstellung habe, die mit dem, was ich suche, von fern her in einiger Verbindung steht, so prägt, wenn ich nur dreist damit den Anfang mache, das Gemüt, während die Rede fortschreitet, in der Notwendigkeit, dem Anfang nun auch — ein Ende zu finden, jene verworrene Vorstellung zur völligen Deutlichkeit aus, dergestalt, dass die Erkenntnis, zu meinem Erstaunen, mit der Periode fertig ist. Ich mische unartikulierte Töne ein, ziehe die Verbindungswörter in die Länge, gebrauche auch wohl eine Apposition, wo sie nicht nötig wäre, und bediene mich anderer, die Rede ausdehnender, Kunstgriffe, zur Fabrikation meiner Idee auf der Werkstätte der Vernunft, die gehörige Zeit zu gewinnen. (Z. 34</w:t>
      </w:r>
      <w:r>
        <w:rPr>
          <w:rFonts w:ascii="Times New Roman" w:hAnsi="Times New Roman"/>
          <w:sz w:val="21"/>
        </w:rPr>
        <w:t>–</w:t>
      </w:r>
      <w:r w:rsidRPr="00C329CE">
        <w:rPr>
          <w:rFonts w:ascii="Times New Roman" w:hAnsi="Times New Roman"/>
          <w:sz w:val="21"/>
        </w:rPr>
        <w:t>45)</w:t>
      </w:r>
    </w:p>
    <w:p w14:paraId="793727F0" w14:textId="77777777" w:rsidR="00C329CE" w:rsidRPr="00C329CE" w:rsidRDefault="00C329CE" w:rsidP="00C329CE"/>
    <w:p w14:paraId="416AF1B3" w14:textId="0D372DAE" w:rsidR="00C329CE" w:rsidRDefault="00C329CE" w:rsidP="00C329CE">
      <w:pPr>
        <w:rPr>
          <w:rStyle w:val="ekvkursiv"/>
          <w:rFonts w:ascii="Times New Roman" w:hAnsi="Times New Roman"/>
          <w:sz w:val="21"/>
        </w:rPr>
      </w:pPr>
      <w:r w:rsidRPr="00C329CE">
        <w:rPr>
          <w:rStyle w:val="ekvkursiv"/>
          <w:rFonts w:ascii="Times New Roman" w:hAnsi="Times New Roman"/>
          <w:sz w:val="21"/>
        </w:rPr>
        <w:t>Man lässt sich nach mutigem Anfang im Ausdruckmedium treiben und kommt allmählich im Laufe des unstrukturierten Sprechens zu einer Ordnung der eigenen Gedanken. Das Medium der Rede bietet mit seinen semantischen, syntaktischen oder pragmatischen Möglichkeiten das dazu notwendige kreative Instrumentarium und man gewinnt Zeit zur Erkenntnisbildung.</w:t>
      </w:r>
    </w:p>
    <w:p w14:paraId="509DC08E" w14:textId="77777777" w:rsidR="002116F6" w:rsidRDefault="002116F6" w:rsidP="002116F6"/>
    <w:p w14:paraId="4EF0DEA7" w14:textId="77777777" w:rsidR="002116F6" w:rsidRDefault="002116F6" w:rsidP="002116F6">
      <w:pPr>
        <w:pStyle w:val="ekvgrundtexthalbe"/>
      </w:pPr>
    </w:p>
    <w:p w14:paraId="099A890F" w14:textId="7277322B" w:rsidR="002116F6" w:rsidRDefault="002116F6" w:rsidP="002116F6">
      <w:pPr>
        <w:pStyle w:val="ekvue3arial"/>
      </w:pPr>
      <w:r w:rsidRPr="00C329CE">
        <w:t xml:space="preserve">Auszug </w:t>
      </w:r>
      <w:r>
        <w:t>5</w:t>
      </w:r>
    </w:p>
    <w:p w14:paraId="0888B681" w14:textId="77777777" w:rsidR="002116F6" w:rsidRDefault="002116F6" w:rsidP="002116F6"/>
    <w:p w14:paraId="7FCE3339" w14:textId="03449779" w:rsidR="002116F6" w:rsidRDefault="002116F6" w:rsidP="002116F6">
      <w:pPr>
        <w:rPr>
          <w:rFonts w:ascii="Times New Roman" w:hAnsi="Times New Roman"/>
          <w:sz w:val="21"/>
        </w:rPr>
      </w:pPr>
      <w:r w:rsidRPr="002116F6">
        <w:rPr>
          <w:rFonts w:ascii="Times New Roman" w:hAnsi="Times New Roman"/>
          <w:sz w:val="21"/>
        </w:rPr>
        <w:t>Der Franzose sagt, l'appétit vient en mangeant</w:t>
      </w:r>
      <w:r>
        <w:rPr>
          <w:rStyle w:val="Funotenzeichen"/>
          <w:rFonts w:ascii="Times New Roman" w:hAnsi="Times New Roman"/>
          <w:sz w:val="21"/>
        </w:rPr>
        <w:footnoteReference w:id="1"/>
      </w:r>
      <w:r w:rsidRPr="002116F6">
        <w:rPr>
          <w:rFonts w:ascii="Times New Roman" w:hAnsi="Times New Roman"/>
          <w:sz w:val="21"/>
        </w:rPr>
        <w:t>, und dieser Erfahrungssatz bleibt wahr, wenn man ihn parodiert und sagt, l'idée vient en parlant</w:t>
      </w:r>
      <w:r>
        <w:rPr>
          <w:rStyle w:val="Funotenzeichen"/>
          <w:rFonts w:ascii="Times New Roman" w:hAnsi="Times New Roman"/>
          <w:sz w:val="21"/>
        </w:rPr>
        <w:footnoteReference w:id="2"/>
      </w:r>
      <w:r w:rsidRPr="002116F6">
        <w:rPr>
          <w:rFonts w:ascii="Times New Roman" w:hAnsi="Times New Roman"/>
          <w:sz w:val="21"/>
        </w:rPr>
        <w:t>. Oft sitze ich an meinem Geschäftstisch über den Akten, und erforsche, in einer verwickelten Streitsache, den Gesichtspunkt, aus welchem sie wohl zu beurteilen sein mögte. Ich pflege dann gewöhnlich in’s Licht zu sehen, als in den hellsten Punkt, bei dem Bestreben, in welchem mein innerstes Wesen begriffen ist, sich aufzuklären. (Z. 15</w:t>
      </w:r>
      <w:r>
        <w:rPr>
          <w:rFonts w:ascii="Times New Roman" w:hAnsi="Times New Roman"/>
          <w:sz w:val="21"/>
        </w:rPr>
        <w:t>–</w:t>
      </w:r>
      <w:r w:rsidRPr="002116F6">
        <w:rPr>
          <w:rFonts w:ascii="Times New Roman" w:hAnsi="Times New Roman"/>
          <w:sz w:val="21"/>
        </w:rPr>
        <w:t>23)</w:t>
      </w:r>
    </w:p>
    <w:p w14:paraId="24901309" w14:textId="77777777" w:rsidR="002116F6" w:rsidRPr="00C329CE" w:rsidRDefault="002116F6" w:rsidP="002116F6"/>
    <w:p w14:paraId="46370787" w14:textId="627584C6" w:rsidR="002116F6" w:rsidRDefault="002116F6" w:rsidP="002116F6">
      <w:pPr>
        <w:rPr>
          <w:rStyle w:val="ekvkursiv"/>
          <w:rFonts w:ascii="Times New Roman" w:hAnsi="Times New Roman"/>
          <w:sz w:val="21"/>
        </w:rPr>
      </w:pPr>
      <w:r w:rsidRPr="002116F6">
        <w:rPr>
          <w:rStyle w:val="ekvkursiv"/>
          <w:rFonts w:ascii="Times New Roman" w:hAnsi="Times New Roman"/>
          <w:sz w:val="21"/>
        </w:rPr>
        <w:t>Nach Kleist ist man also Teil eines experimentellen Versuchs, sich über das Reden in einen aufklärerischen Prozess zu begeben.</w:t>
      </w:r>
    </w:p>
    <w:p w14:paraId="5CFD0F06" w14:textId="77777777" w:rsidR="002116F6" w:rsidRDefault="002116F6" w:rsidP="002116F6"/>
    <w:p w14:paraId="733639FC" w14:textId="77777777" w:rsidR="002116F6" w:rsidRDefault="002116F6" w:rsidP="002116F6">
      <w:pPr>
        <w:pStyle w:val="ekvgrundtexthalbe"/>
      </w:pPr>
    </w:p>
    <w:p w14:paraId="4343C423" w14:textId="77777777" w:rsidR="002116F6" w:rsidRDefault="002116F6">
      <w:pPr>
        <w:tabs>
          <w:tab w:val="clear" w:pos="340"/>
          <w:tab w:val="clear" w:pos="595"/>
          <w:tab w:val="clear" w:pos="851"/>
        </w:tabs>
        <w:spacing w:after="160" w:line="259" w:lineRule="auto"/>
        <w:rPr>
          <w:rStyle w:val="ekvkursiv"/>
          <w:rFonts w:ascii="Times New Roman" w:hAnsi="Times New Roman"/>
          <w:sz w:val="21"/>
        </w:rPr>
      </w:pPr>
      <w:r>
        <w:rPr>
          <w:rStyle w:val="ekvkursiv"/>
          <w:rFonts w:ascii="Times New Roman" w:hAnsi="Times New Roman"/>
          <w:sz w:val="21"/>
        </w:rPr>
        <w:br w:type="page"/>
      </w:r>
    </w:p>
    <w:tbl>
      <w:tblPr>
        <w:tblW w:w="11000" w:type="dxa"/>
        <w:tblInd w:w="-822" w:type="dxa"/>
        <w:tblBorders>
          <w:insideH w:val="single" w:sz="8" w:space="0" w:color="808080"/>
        </w:tblBorders>
        <w:tblLayout w:type="fixed"/>
        <w:tblLook w:val="01E0" w:firstRow="1" w:lastRow="1" w:firstColumn="1" w:lastColumn="1" w:noHBand="0" w:noVBand="0"/>
      </w:tblPr>
      <w:tblGrid>
        <w:gridCol w:w="819"/>
        <w:gridCol w:w="3854"/>
        <w:gridCol w:w="1320"/>
        <w:gridCol w:w="2040"/>
        <w:gridCol w:w="1301"/>
        <w:gridCol w:w="1666"/>
      </w:tblGrid>
      <w:tr w:rsidR="002116F6" w:rsidRPr="00C172AE" w14:paraId="0D55588A" w14:textId="77777777" w:rsidTr="00B35D1C">
        <w:trPr>
          <w:trHeight w:hRule="exact" w:val="510"/>
        </w:trPr>
        <w:tc>
          <w:tcPr>
            <w:tcW w:w="819" w:type="dxa"/>
            <w:tcBorders>
              <w:top w:val="nil"/>
              <w:bottom w:val="nil"/>
              <w:right w:val="nil"/>
            </w:tcBorders>
            <w:noWrap/>
            <w:vAlign w:val="bottom"/>
          </w:tcPr>
          <w:p w14:paraId="19C847E9" w14:textId="77777777" w:rsidR="002116F6" w:rsidRPr="00AE65F6" w:rsidRDefault="002116F6" w:rsidP="00F07323">
            <w:pPr>
              <w:pageBreakBefore/>
              <w:rPr>
                <w:color w:val="FFFFFF" w:themeColor="background1"/>
              </w:rPr>
            </w:pPr>
          </w:p>
        </w:tc>
        <w:tc>
          <w:tcPr>
            <w:tcW w:w="3854" w:type="dxa"/>
            <w:tcBorders>
              <w:top w:val="nil"/>
              <w:left w:val="nil"/>
              <w:bottom w:val="nil"/>
              <w:right w:val="nil"/>
            </w:tcBorders>
            <w:noWrap/>
            <w:vAlign w:val="bottom"/>
          </w:tcPr>
          <w:p w14:paraId="337B7D47" w14:textId="77777777" w:rsidR="002116F6" w:rsidRPr="007C1230" w:rsidRDefault="002116F6" w:rsidP="00F07323">
            <w:pPr>
              <w:pStyle w:val="ekvkolumnentitel"/>
            </w:pPr>
            <w:r w:rsidRPr="007C1230">
              <w:t>Name:</w:t>
            </w:r>
          </w:p>
        </w:tc>
        <w:tc>
          <w:tcPr>
            <w:tcW w:w="1320" w:type="dxa"/>
            <w:tcBorders>
              <w:top w:val="nil"/>
              <w:left w:val="nil"/>
              <w:bottom w:val="nil"/>
              <w:right w:val="nil"/>
            </w:tcBorders>
            <w:noWrap/>
            <w:vAlign w:val="bottom"/>
          </w:tcPr>
          <w:p w14:paraId="2381D926" w14:textId="77777777" w:rsidR="002116F6" w:rsidRPr="007C1230" w:rsidRDefault="002116F6" w:rsidP="00F07323">
            <w:pPr>
              <w:pStyle w:val="ekvkolumnentitel"/>
            </w:pPr>
            <w:r w:rsidRPr="007C1230">
              <w:t>Klasse:</w:t>
            </w:r>
          </w:p>
        </w:tc>
        <w:tc>
          <w:tcPr>
            <w:tcW w:w="2040" w:type="dxa"/>
            <w:tcBorders>
              <w:top w:val="nil"/>
              <w:left w:val="nil"/>
              <w:bottom w:val="nil"/>
              <w:right w:val="nil"/>
            </w:tcBorders>
            <w:noWrap/>
            <w:vAlign w:val="bottom"/>
          </w:tcPr>
          <w:p w14:paraId="47743DCD" w14:textId="77777777" w:rsidR="002116F6" w:rsidRPr="007C1230" w:rsidRDefault="002116F6" w:rsidP="00F07323">
            <w:pPr>
              <w:pStyle w:val="ekvkolumnentitel"/>
            </w:pPr>
            <w:r w:rsidRPr="007C1230">
              <w:t>Datum:</w:t>
            </w:r>
          </w:p>
        </w:tc>
        <w:tc>
          <w:tcPr>
            <w:tcW w:w="1301" w:type="dxa"/>
            <w:tcBorders>
              <w:top w:val="nil"/>
              <w:left w:val="nil"/>
              <w:bottom w:val="nil"/>
              <w:right w:val="nil"/>
            </w:tcBorders>
            <w:noWrap/>
            <w:vAlign w:val="bottom"/>
          </w:tcPr>
          <w:p w14:paraId="5173C7C0" w14:textId="67E9D556" w:rsidR="002116F6" w:rsidRPr="007C1230" w:rsidRDefault="002116F6" w:rsidP="00420CAF">
            <w:pPr>
              <w:pStyle w:val="ekvkolumnentitel"/>
            </w:pPr>
            <w:r>
              <w:t>Seite 3 von 3</w:t>
            </w:r>
          </w:p>
        </w:tc>
        <w:tc>
          <w:tcPr>
            <w:tcW w:w="1666" w:type="dxa"/>
            <w:tcBorders>
              <w:top w:val="nil"/>
              <w:left w:val="nil"/>
              <w:bottom w:val="single" w:sz="8" w:space="0" w:color="808080"/>
            </w:tcBorders>
            <w:noWrap/>
            <w:vAlign w:val="bottom"/>
          </w:tcPr>
          <w:p w14:paraId="61C2E844" w14:textId="77777777" w:rsidR="002116F6" w:rsidRPr="007636A0" w:rsidRDefault="002116F6" w:rsidP="00420CAF">
            <w:r>
              <w:t>Arbeits-</w:t>
            </w:r>
            <w:r>
              <w:br/>
              <w:t>blatt</w:t>
            </w:r>
          </w:p>
        </w:tc>
      </w:tr>
      <w:tr w:rsidR="002116F6" w:rsidRPr="00BF17F2" w14:paraId="0855ECB4" w14:textId="77777777" w:rsidTr="00182964">
        <w:tblPrEx>
          <w:tblLook w:val="0000" w:firstRow="0" w:lastRow="0" w:firstColumn="0" w:lastColumn="0" w:noHBand="0" w:noVBand="0"/>
        </w:tblPrEx>
        <w:trPr>
          <w:trHeight w:hRule="exact" w:val="794"/>
        </w:trPr>
        <w:tc>
          <w:tcPr>
            <w:tcW w:w="819" w:type="dxa"/>
            <w:tcBorders>
              <w:bottom w:val="nil"/>
              <w:right w:val="nil"/>
            </w:tcBorders>
            <w:noWrap/>
            <w:vAlign w:val="bottom"/>
          </w:tcPr>
          <w:p w14:paraId="1E3265D3" w14:textId="77777777" w:rsidR="002116F6" w:rsidRPr="00BF17F2" w:rsidRDefault="002116F6" w:rsidP="00F07323">
            <w:pPr>
              <w:rPr>
                <w:color w:val="FFFFFF" w:themeColor="background1"/>
              </w:rPr>
            </w:pPr>
          </w:p>
        </w:tc>
        <w:tc>
          <w:tcPr>
            <w:tcW w:w="8515" w:type="dxa"/>
            <w:gridSpan w:val="4"/>
            <w:tcBorders>
              <w:left w:val="nil"/>
              <w:bottom w:val="nil"/>
              <w:right w:val="nil"/>
            </w:tcBorders>
            <w:noWrap/>
            <w:vAlign w:val="bottom"/>
          </w:tcPr>
          <w:p w14:paraId="0E791244" w14:textId="77777777" w:rsidR="002116F6" w:rsidRPr="00BF17F2" w:rsidRDefault="002116F6" w:rsidP="00F07323">
            <w:pPr>
              <w:rPr>
                <w:color w:val="FFFFFF" w:themeColor="background1"/>
              </w:rPr>
            </w:pPr>
          </w:p>
        </w:tc>
        <w:tc>
          <w:tcPr>
            <w:tcW w:w="1666" w:type="dxa"/>
            <w:tcBorders>
              <w:top w:val="nil"/>
              <w:left w:val="nil"/>
              <w:bottom w:val="nil"/>
            </w:tcBorders>
          </w:tcPr>
          <w:p w14:paraId="55BE8089" w14:textId="77777777" w:rsidR="002116F6" w:rsidRPr="00B35D1C" w:rsidRDefault="002116F6" w:rsidP="002E4656">
            <w:r>
              <w:rPr>
                <w:noProof/>
              </w:rPr>
              <w:drawing>
                <wp:anchor distT="0" distB="0" distL="114300" distR="114300" simplePos="0" relativeHeight="251663360" behindDoc="1" locked="0" layoutInCell="1" allowOverlap="1" wp14:anchorId="63665C34" wp14:editId="68EC142D">
                  <wp:simplePos x="0" y="0"/>
                  <wp:positionH relativeFrom="column">
                    <wp:posOffset>-74884</wp:posOffset>
                  </wp:positionH>
                  <wp:positionV relativeFrom="paragraph">
                    <wp:posOffset>-614180</wp:posOffset>
                  </wp:positionV>
                  <wp:extent cx="791845" cy="791845"/>
                  <wp:effectExtent l="0" t="0" r="8255" b="8255"/>
                  <wp:wrapNone/>
                  <wp:docPr id="1976871697" name="Grafik 19768716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7">
                            <a:extLst>
                              <a:ext uri="{28A0092B-C50C-407E-A947-70E740481C1C}">
                                <a14:useLocalDpi xmlns:a14="http://schemas.microsoft.com/office/drawing/2010/main" val="0"/>
                              </a:ext>
                            </a:extLst>
                          </a:blip>
                          <a:stretch>
                            <a:fillRect/>
                          </a:stretch>
                        </pic:blipFill>
                        <pic:spPr>
                          <a:xfrm>
                            <a:off x="0" y="0"/>
                            <a:ext cx="791845" cy="791845"/>
                          </a:xfrm>
                          <a:prstGeom prst="rect">
                            <a:avLst/>
                          </a:prstGeom>
                        </pic:spPr>
                      </pic:pic>
                    </a:graphicData>
                  </a:graphic>
                  <wp14:sizeRelH relativeFrom="page">
                    <wp14:pctWidth>0</wp14:pctWidth>
                  </wp14:sizeRelH>
                  <wp14:sizeRelV relativeFrom="page">
                    <wp14:pctHeight>0</wp14:pctHeight>
                  </wp14:sizeRelV>
                </wp:anchor>
              </w:drawing>
            </w:r>
          </w:p>
        </w:tc>
      </w:tr>
    </w:tbl>
    <w:p w14:paraId="35ECBDC5" w14:textId="77777777" w:rsidR="00A22A6B" w:rsidRDefault="00A22A6B" w:rsidP="00A22A6B">
      <w:pPr>
        <w:pStyle w:val="ekvue3arial"/>
      </w:pPr>
      <w:r w:rsidRPr="00C329CE">
        <w:t xml:space="preserve">Auszug </w:t>
      </w:r>
      <w:r>
        <w:t>6</w:t>
      </w:r>
    </w:p>
    <w:p w14:paraId="56390016" w14:textId="77777777" w:rsidR="00A22A6B" w:rsidRDefault="00A22A6B" w:rsidP="00A22A6B"/>
    <w:p w14:paraId="63C53DCE" w14:textId="77777777" w:rsidR="00A22A6B" w:rsidRDefault="00A22A6B" w:rsidP="00A22A6B">
      <w:pPr>
        <w:rPr>
          <w:rFonts w:ascii="Times New Roman" w:hAnsi="Times New Roman"/>
          <w:sz w:val="21"/>
        </w:rPr>
      </w:pPr>
      <w:r w:rsidRPr="002116F6">
        <w:rPr>
          <w:rFonts w:ascii="Times New Roman" w:hAnsi="Times New Roman"/>
          <w:sz w:val="21"/>
        </w:rPr>
        <w:t>Und siehe da, wenn ich mit meiner Schwester davon rede, welche hinter mir sitzt, und arbeitet, so erfahre ich, was ich durch ein vielleicht stundenlanges Brüten nicht herausgebracht haben würde. Nicht, als ob sie es mir, im eigentlichen Sinne sagte; denn sie kennt weder das Gesetzbuch, noch hat sie den Euler</w:t>
      </w:r>
      <w:r>
        <w:rPr>
          <w:rStyle w:val="Funotenzeichen"/>
          <w:rFonts w:ascii="Times New Roman" w:hAnsi="Times New Roman"/>
          <w:sz w:val="21"/>
        </w:rPr>
        <w:footnoteReference w:id="3"/>
      </w:r>
      <w:r w:rsidRPr="002116F6">
        <w:rPr>
          <w:rFonts w:ascii="Times New Roman" w:hAnsi="Times New Roman"/>
          <w:sz w:val="21"/>
        </w:rPr>
        <w:t>, oder den Kästner</w:t>
      </w:r>
      <w:r>
        <w:rPr>
          <w:rStyle w:val="Funotenzeichen"/>
          <w:rFonts w:ascii="Times New Roman" w:hAnsi="Times New Roman"/>
          <w:sz w:val="21"/>
        </w:rPr>
        <w:footnoteReference w:id="4"/>
      </w:r>
      <w:r w:rsidRPr="002116F6">
        <w:rPr>
          <w:rFonts w:ascii="Times New Roman" w:hAnsi="Times New Roman"/>
          <w:sz w:val="21"/>
        </w:rPr>
        <w:t xml:space="preserve"> studiert. […] Dabei ist mir nichts heilsamer, als eine Bewegung meiner Schwester, als ob sie mich unterbrechen wollte; denn mein ohnehin schon angestrengtes Gemüt wird durch diesen Versuch von außen, ihm die Rede, in deren Besitz es sich befindet, zu entreißen, nur noch mehr erregt, und in seiner Fähigkeit, wie ein großer General, wenn die Umstande drängen, noch um einen Grad höher gespannt. (Z. 26</w:t>
      </w:r>
      <w:r>
        <w:rPr>
          <w:rFonts w:ascii="Times New Roman" w:hAnsi="Times New Roman"/>
          <w:sz w:val="21"/>
        </w:rPr>
        <w:t>–</w:t>
      </w:r>
      <w:r w:rsidRPr="002116F6">
        <w:rPr>
          <w:rFonts w:ascii="Times New Roman" w:hAnsi="Times New Roman"/>
          <w:sz w:val="21"/>
        </w:rPr>
        <w:t>52)</w:t>
      </w:r>
    </w:p>
    <w:p w14:paraId="337EDDD0" w14:textId="77777777" w:rsidR="00A22A6B" w:rsidRDefault="00A22A6B" w:rsidP="002116F6">
      <w:pPr>
        <w:pStyle w:val="ekvgrundtexttimes"/>
        <w:rPr>
          <w:rStyle w:val="ekvkursiv"/>
        </w:rPr>
      </w:pPr>
    </w:p>
    <w:p w14:paraId="1A4B976C" w14:textId="6B1F86AF" w:rsidR="002116F6" w:rsidRPr="002116F6" w:rsidRDefault="002116F6" w:rsidP="002116F6">
      <w:pPr>
        <w:pStyle w:val="ekvgrundtexttimes"/>
        <w:rPr>
          <w:rStyle w:val="ekvkursiv"/>
        </w:rPr>
      </w:pPr>
      <w:r w:rsidRPr="002116F6">
        <w:rPr>
          <w:rStyle w:val="ekvkursiv"/>
        </w:rPr>
        <w:t>Die so allmählich entstehende (Selbst)Erkenntnis zieht das Gegenüber, dessen es bedarf, in einen wechselseitigen Sinnprozess hinein. Dies setzt die Bereitschaft voraus, auch Irritationen zu akzeptieren und darin konstruktive Möglichkeiten zu erkennen, die von Seiten eines Kommunikationspartners oder durch das Medium selbst kommen können. Das über medialen Austausch entstehende Erfahrungswissen ist also das Ergebnis eines wechselseitigen, kreativen Sinnprozesses und nicht das Produkt eines bereits vorhanden genialen Zustands. Dabei ist nicht das denkende Subjekt, das sich eines Mediums bedient, Ausgangspunkt von Erkenntnisgenerierung, sondern das Medium selbst steht im Vordergrund, das Bewusstsein ist nachgeordnet. Diese Verschiebung in den Schaffensprozess ist im heutigen Medienzeitalter, das permanenter Veränderung unterliegt, höchst aktuell.</w:t>
      </w:r>
    </w:p>
    <w:p w14:paraId="1B3BE8E2" w14:textId="77777777" w:rsidR="002116F6" w:rsidRDefault="002116F6" w:rsidP="002116F6">
      <w:pPr>
        <w:rPr>
          <w:rStyle w:val="ekvkursiv"/>
          <w:rFonts w:ascii="Times New Roman" w:hAnsi="Times New Roman"/>
          <w:sz w:val="21"/>
        </w:rPr>
      </w:pPr>
    </w:p>
    <w:p w14:paraId="19B98ADF" w14:textId="6B00A339" w:rsidR="002116F6" w:rsidRDefault="002116F6" w:rsidP="002116F6">
      <w:pPr>
        <w:rPr>
          <w:rStyle w:val="ekvkursiv"/>
          <w:rFonts w:ascii="Times New Roman" w:hAnsi="Times New Roman"/>
          <w:sz w:val="21"/>
        </w:rPr>
      </w:pPr>
      <w:r w:rsidRPr="002116F6">
        <w:rPr>
          <w:rStyle w:val="ekvkursiv"/>
          <w:rFonts w:ascii="Times New Roman" w:hAnsi="Times New Roman"/>
          <w:sz w:val="21"/>
        </w:rPr>
        <w:t>Kleists Vorstellung hat mit der existenziellen Verunsicherung des Individuums um 1800 zu tun. Eine verlässliche Lebensplanung in einem festgefügten gesellschaftlichen Rahmen war unmöglich geworden. Getroffene Entscheidungen wurden von den unsicheren Zeitläuften permanent eingeholt. Diese Situation korrespondiert mit den aktuellen Verunsicherungen, die unsere gegenwärtige Welt prägen.</w:t>
      </w:r>
    </w:p>
    <w:p w14:paraId="60FCD4B6" w14:textId="77777777" w:rsidR="002116F6" w:rsidRPr="002116F6" w:rsidRDefault="002116F6" w:rsidP="002116F6"/>
    <w:p w14:paraId="5E793916" w14:textId="77777777" w:rsidR="002116F6" w:rsidRPr="002116F6" w:rsidRDefault="002116F6" w:rsidP="002116F6"/>
    <w:p w14:paraId="04784B12" w14:textId="1B11E535" w:rsidR="002116F6" w:rsidRDefault="002116F6" w:rsidP="002116F6">
      <w:pPr>
        <w:pStyle w:val="ekvaufzhlung"/>
      </w:pPr>
      <w:r w:rsidRPr="002116F6">
        <w:rPr>
          <w:rStyle w:val="ekvnummerierung"/>
        </w:rPr>
        <w:t>2</w:t>
      </w:r>
      <w:r>
        <w:tab/>
        <w:t>Zeigen Sie Parallelen auf zwischen Kleists eigener Zeit und unserer Gegenwart. Warum ist er aktuell?</w:t>
      </w:r>
    </w:p>
    <w:p w14:paraId="32A9BEDB" w14:textId="77777777" w:rsidR="002116F6" w:rsidRDefault="002116F6" w:rsidP="002116F6"/>
    <w:p w14:paraId="69CD1758" w14:textId="55DA54A0" w:rsidR="00C329CE" w:rsidRDefault="002116F6" w:rsidP="002116F6">
      <w:pPr>
        <w:pStyle w:val="ekvaufzhlung"/>
      </w:pPr>
      <w:r w:rsidRPr="002116F6">
        <w:rPr>
          <w:rStyle w:val="ekvnummerierung"/>
        </w:rPr>
        <w:t>3</w:t>
      </w:r>
      <w:r>
        <w:tab/>
        <w:t>Die Schlussfolgerung aus Kleists Überlegungen lautet, dass krisenhaften Situationen durch den respektvollen geselligen Austausch und im Vertrauen auf die Kraft des (Sprach)Mediums zu begegnen sei. Nehmen Sie Stellung dazu. Berücksichtigen Sie dabei insbesondere die Rolle, die die modernen Medien heute für die Meinungs- und Willensbildung spielen.</w:t>
      </w:r>
    </w:p>
    <w:p w14:paraId="16A17AD7" w14:textId="77777777" w:rsidR="002116F6" w:rsidRDefault="002116F6" w:rsidP="002116F6"/>
    <w:p w14:paraId="67F6FD5C" w14:textId="77777777" w:rsidR="00A22A6B" w:rsidRPr="00A22A6B" w:rsidRDefault="00A22A6B" w:rsidP="00A22A6B">
      <w:pPr>
        <w:pStyle w:val="ekvschreiblinie"/>
        <w:rPr>
          <w:rStyle w:val="ekvhandschriftunterstrichen"/>
        </w:rPr>
      </w:pPr>
      <w:r w:rsidRPr="00A22A6B">
        <w:rPr>
          <w:rStyle w:val="ekvhandschriftunterstrichen"/>
        </w:rPr>
        <w:tab/>
      </w:r>
      <w:r w:rsidRPr="00A22A6B">
        <w:rPr>
          <w:rStyle w:val="ekvhandschriftunterstrichen"/>
        </w:rPr>
        <w:tab/>
      </w:r>
      <w:r w:rsidRPr="00A22A6B">
        <w:rPr>
          <w:rStyle w:val="ekvhandschriftunterstrichen"/>
        </w:rPr>
        <w:tab/>
      </w:r>
      <w:r w:rsidRPr="00A22A6B">
        <w:rPr>
          <w:rStyle w:val="ekvhandschriftunterstrichen"/>
        </w:rPr>
        <w:tab/>
      </w:r>
    </w:p>
    <w:p w14:paraId="09628EE3" w14:textId="77777777" w:rsidR="00A22A6B" w:rsidRPr="00A22A6B" w:rsidRDefault="00A22A6B" w:rsidP="00A22A6B">
      <w:pPr>
        <w:pStyle w:val="ekvschreiblinie"/>
        <w:rPr>
          <w:rStyle w:val="ekvhandschriftunterstrichen"/>
        </w:rPr>
      </w:pPr>
      <w:r w:rsidRPr="00A22A6B">
        <w:rPr>
          <w:rStyle w:val="ekvhandschriftunterstrichen"/>
        </w:rPr>
        <w:tab/>
      </w:r>
      <w:r w:rsidRPr="00A22A6B">
        <w:rPr>
          <w:rStyle w:val="ekvhandschriftunterstrichen"/>
        </w:rPr>
        <w:tab/>
      </w:r>
      <w:r w:rsidRPr="00A22A6B">
        <w:rPr>
          <w:rStyle w:val="ekvhandschriftunterstrichen"/>
        </w:rPr>
        <w:tab/>
      </w:r>
      <w:r w:rsidRPr="00A22A6B">
        <w:rPr>
          <w:rStyle w:val="ekvhandschriftunterstrichen"/>
        </w:rPr>
        <w:tab/>
      </w:r>
    </w:p>
    <w:p w14:paraId="2510537D" w14:textId="77777777" w:rsidR="00A22A6B" w:rsidRPr="00A22A6B" w:rsidRDefault="00A22A6B" w:rsidP="00A22A6B">
      <w:pPr>
        <w:pStyle w:val="ekvschreiblinie"/>
        <w:rPr>
          <w:rStyle w:val="ekvhandschriftunterstrichen"/>
        </w:rPr>
      </w:pPr>
      <w:r w:rsidRPr="00A22A6B">
        <w:rPr>
          <w:rStyle w:val="ekvhandschriftunterstrichen"/>
        </w:rPr>
        <w:tab/>
      </w:r>
      <w:r w:rsidRPr="00A22A6B">
        <w:rPr>
          <w:rStyle w:val="ekvhandschriftunterstrichen"/>
        </w:rPr>
        <w:tab/>
      </w:r>
      <w:r w:rsidRPr="00A22A6B">
        <w:rPr>
          <w:rStyle w:val="ekvhandschriftunterstrichen"/>
        </w:rPr>
        <w:tab/>
      </w:r>
      <w:r w:rsidRPr="00A22A6B">
        <w:rPr>
          <w:rStyle w:val="ekvhandschriftunterstrichen"/>
        </w:rPr>
        <w:tab/>
      </w:r>
    </w:p>
    <w:p w14:paraId="7E5F9EA6" w14:textId="77777777" w:rsidR="00A22A6B" w:rsidRPr="00A22A6B" w:rsidRDefault="00A22A6B" w:rsidP="00A22A6B">
      <w:pPr>
        <w:pStyle w:val="ekvschreiblinie"/>
        <w:rPr>
          <w:rStyle w:val="ekvhandschriftunterstrichen"/>
        </w:rPr>
      </w:pPr>
      <w:r w:rsidRPr="00A22A6B">
        <w:rPr>
          <w:rStyle w:val="ekvhandschriftunterstrichen"/>
        </w:rPr>
        <w:tab/>
      </w:r>
      <w:r w:rsidRPr="00A22A6B">
        <w:rPr>
          <w:rStyle w:val="ekvhandschriftunterstrichen"/>
        </w:rPr>
        <w:tab/>
      </w:r>
      <w:r w:rsidRPr="00A22A6B">
        <w:rPr>
          <w:rStyle w:val="ekvhandschriftunterstrichen"/>
        </w:rPr>
        <w:tab/>
      </w:r>
      <w:r w:rsidRPr="00A22A6B">
        <w:rPr>
          <w:rStyle w:val="ekvhandschriftunterstrichen"/>
        </w:rPr>
        <w:tab/>
      </w:r>
    </w:p>
    <w:p w14:paraId="35564802" w14:textId="77777777" w:rsidR="00A22A6B" w:rsidRPr="00A22A6B" w:rsidRDefault="00A22A6B" w:rsidP="00A22A6B">
      <w:pPr>
        <w:pStyle w:val="ekvschreiblinie"/>
        <w:rPr>
          <w:rStyle w:val="ekvhandschriftunterstrichen"/>
        </w:rPr>
      </w:pPr>
      <w:r w:rsidRPr="00A22A6B">
        <w:rPr>
          <w:rStyle w:val="ekvhandschriftunterstrichen"/>
        </w:rPr>
        <w:tab/>
      </w:r>
      <w:r w:rsidRPr="00A22A6B">
        <w:rPr>
          <w:rStyle w:val="ekvhandschriftunterstrichen"/>
        </w:rPr>
        <w:tab/>
      </w:r>
      <w:r w:rsidRPr="00A22A6B">
        <w:rPr>
          <w:rStyle w:val="ekvhandschriftunterstrichen"/>
        </w:rPr>
        <w:tab/>
      </w:r>
      <w:r w:rsidRPr="00A22A6B">
        <w:rPr>
          <w:rStyle w:val="ekvhandschriftunterstrichen"/>
        </w:rPr>
        <w:tab/>
      </w:r>
    </w:p>
    <w:p w14:paraId="384E6D10" w14:textId="77777777" w:rsidR="00A22A6B" w:rsidRPr="00A22A6B" w:rsidRDefault="00A22A6B" w:rsidP="00A22A6B">
      <w:pPr>
        <w:pStyle w:val="ekvschreiblinie"/>
        <w:rPr>
          <w:rStyle w:val="ekvhandschriftunterstrichen"/>
        </w:rPr>
      </w:pPr>
      <w:r w:rsidRPr="00A22A6B">
        <w:rPr>
          <w:rStyle w:val="ekvhandschriftunterstrichen"/>
        </w:rPr>
        <w:tab/>
      </w:r>
      <w:r w:rsidRPr="00A22A6B">
        <w:rPr>
          <w:rStyle w:val="ekvhandschriftunterstrichen"/>
        </w:rPr>
        <w:tab/>
      </w:r>
      <w:r w:rsidRPr="00A22A6B">
        <w:rPr>
          <w:rStyle w:val="ekvhandschriftunterstrichen"/>
        </w:rPr>
        <w:tab/>
      </w:r>
      <w:r w:rsidRPr="00A22A6B">
        <w:rPr>
          <w:rStyle w:val="ekvhandschriftunterstrichen"/>
        </w:rPr>
        <w:tab/>
      </w:r>
    </w:p>
    <w:p w14:paraId="33BAD176" w14:textId="77777777" w:rsidR="00A22A6B" w:rsidRPr="00A22A6B" w:rsidRDefault="00A22A6B" w:rsidP="00A22A6B">
      <w:pPr>
        <w:pStyle w:val="ekvschreiblinie"/>
        <w:rPr>
          <w:rStyle w:val="ekvhandschriftunterstrichen"/>
        </w:rPr>
      </w:pPr>
      <w:r w:rsidRPr="00A22A6B">
        <w:rPr>
          <w:rStyle w:val="ekvhandschriftunterstrichen"/>
        </w:rPr>
        <w:tab/>
      </w:r>
      <w:r w:rsidRPr="00A22A6B">
        <w:rPr>
          <w:rStyle w:val="ekvhandschriftunterstrichen"/>
        </w:rPr>
        <w:tab/>
      </w:r>
      <w:r w:rsidRPr="00A22A6B">
        <w:rPr>
          <w:rStyle w:val="ekvhandschriftunterstrichen"/>
        </w:rPr>
        <w:tab/>
      </w:r>
      <w:r w:rsidRPr="00A22A6B">
        <w:rPr>
          <w:rStyle w:val="ekvhandschriftunterstrichen"/>
        </w:rPr>
        <w:tab/>
      </w:r>
    </w:p>
    <w:p w14:paraId="0417B19A" w14:textId="77777777" w:rsidR="00A22A6B" w:rsidRPr="00A22A6B" w:rsidRDefault="00A22A6B" w:rsidP="00A22A6B">
      <w:pPr>
        <w:pStyle w:val="ekvschreiblinie"/>
        <w:rPr>
          <w:rStyle w:val="ekvhandschriftunterstrichen"/>
        </w:rPr>
      </w:pPr>
      <w:r w:rsidRPr="00A22A6B">
        <w:rPr>
          <w:rStyle w:val="ekvhandschriftunterstrichen"/>
        </w:rPr>
        <w:tab/>
      </w:r>
      <w:r w:rsidRPr="00A22A6B">
        <w:rPr>
          <w:rStyle w:val="ekvhandschriftunterstrichen"/>
        </w:rPr>
        <w:tab/>
      </w:r>
      <w:r w:rsidRPr="00A22A6B">
        <w:rPr>
          <w:rStyle w:val="ekvhandschriftunterstrichen"/>
        </w:rPr>
        <w:tab/>
      </w:r>
      <w:r w:rsidRPr="00A22A6B">
        <w:rPr>
          <w:rStyle w:val="ekvhandschriftunterstrichen"/>
        </w:rPr>
        <w:tab/>
      </w:r>
    </w:p>
    <w:p w14:paraId="57849D44" w14:textId="0D6408ED" w:rsidR="002116F6" w:rsidRDefault="00A22A6B" w:rsidP="00A22A6B">
      <w:pPr>
        <w:pStyle w:val="ekvschreiblinie"/>
      </w:pPr>
      <w:r w:rsidRPr="00A22A6B">
        <w:rPr>
          <w:rStyle w:val="ekvhandschriftunterstrichen"/>
        </w:rPr>
        <w:tab/>
      </w:r>
      <w:r w:rsidRPr="00A22A6B">
        <w:rPr>
          <w:rStyle w:val="ekvhandschriftunterstrichen"/>
        </w:rPr>
        <w:tab/>
      </w:r>
      <w:r w:rsidRPr="00A22A6B">
        <w:rPr>
          <w:rStyle w:val="ekvhandschriftunterstrichen"/>
        </w:rPr>
        <w:tab/>
      </w:r>
      <w:r w:rsidRPr="00A22A6B">
        <w:rPr>
          <w:rStyle w:val="ekvhandschriftunterstrichen"/>
        </w:rPr>
        <w:tab/>
      </w:r>
    </w:p>
    <w:sectPr w:rsidR="002116F6" w:rsidSect="00764797">
      <w:footerReference w:type="default" r:id="rId8"/>
      <w:type w:val="continuous"/>
      <w:pgSz w:w="11906" w:h="16838" w:code="9"/>
      <w:pgMar w:top="454"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E29476" w14:textId="77777777" w:rsidR="008A0AEC" w:rsidRDefault="008A0AEC" w:rsidP="003C599D">
      <w:pPr>
        <w:spacing w:line="240" w:lineRule="auto"/>
      </w:pPr>
      <w:r>
        <w:separator/>
      </w:r>
    </w:p>
  </w:endnote>
  <w:endnote w:type="continuationSeparator" w:id="0">
    <w:p w14:paraId="1203BD22" w14:textId="77777777" w:rsidR="008A0AEC" w:rsidRDefault="008A0AEC"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79ACC7BB" w14:textId="77777777" w:rsidTr="00503EE6">
      <w:trPr>
        <w:trHeight w:hRule="exact" w:val="680"/>
      </w:trPr>
      <w:tc>
        <w:tcPr>
          <w:tcW w:w="864" w:type="dxa"/>
          <w:noWrap/>
        </w:tcPr>
        <w:p w14:paraId="01D89CB0" w14:textId="77777777" w:rsidR="002659C5" w:rsidRPr="00913892" w:rsidRDefault="002659C5" w:rsidP="005E4C30">
          <w:pPr>
            <w:pStyle w:val="ekvpaginabild"/>
            <w:jc w:val="both"/>
          </w:pPr>
          <w:r w:rsidRPr="00913892">
            <w:rPr>
              <w:noProof/>
              <w:lang w:eastAsia="de-DE"/>
            </w:rPr>
            <w:drawing>
              <wp:inline distT="0" distB="0" distL="0" distR="0" wp14:anchorId="7C63576E" wp14:editId="0A1E04E2">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6DFFC1F5" w14:textId="67AED55B" w:rsidR="002659C5" w:rsidRPr="00913892" w:rsidRDefault="002659C5" w:rsidP="00503EE6">
          <w:pPr>
            <w:pStyle w:val="ekvpagina"/>
          </w:pPr>
          <w:r w:rsidRPr="00913892">
            <w:t xml:space="preserve">© Ernst Klett Verlag GmbH, </w:t>
          </w:r>
          <w:r w:rsidR="00155564">
            <w:t>Stuttgart 20</w:t>
          </w:r>
          <w:r w:rsidR="00C329CE">
            <w:t>24</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639FF6C4" w14:textId="77777777" w:rsidR="00DC32AF" w:rsidRDefault="00DC32AF" w:rsidP="00DC32AF">
          <w:pPr>
            <w:pStyle w:val="ekvquelle"/>
          </w:pPr>
          <w:r>
            <w:t xml:space="preserve">Autor: </w:t>
          </w:r>
          <w:r w:rsidRPr="00C06723">
            <w:t>Dr. Hans R. Spielmann</w:t>
          </w:r>
        </w:p>
        <w:p w14:paraId="53662B12" w14:textId="77777777" w:rsidR="002116F6" w:rsidRDefault="002116F6" w:rsidP="002116F6">
          <w:pPr>
            <w:pStyle w:val="ekvquelle"/>
          </w:pPr>
          <w:r>
            <w:t xml:space="preserve">Textquelle: Heinrich von Kleist: Über die allmächlige Verfertigung der Gedanken beim Reden. Zitiert nach: </w:t>
          </w:r>
        </w:p>
        <w:p w14:paraId="07C0D2CA" w14:textId="118F30C7" w:rsidR="002116F6" w:rsidRPr="00913892" w:rsidRDefault="002116F6" w:rsidP="002116F6">
          <w:pPr>
            <w:pStyle w:val="ekvquelle"/>
          </w:pPr>
          <w:r>
            <w:t>https://www.kleist-digital.de/sonstige-prosa/allmaehlige_verfertigung, hrsg. v. Günter Dunz-Wolff (05.01.2024). Die Textfassung folgt der Zeilenzählung des emendierten Erstdrucks. Die Rechtschreibung ist aktualisiert, die Zeichensetzung entspricht dem Erstdruck.</w:t>
          </w:r>
        </w:p>
      </w:tc>
      <w:tc>
        <w:tcPr>
          <w:tcW w:w="813" w:type="dxa"/>
        </w:tcPr>
        <w:p w14:paraId="0B634077" w14:textId="77777777" w:rsidR="002659C5" w:rsidRPr="00913892" w:rsidRDefault="002659C5" w:rsidP="00913892">
          <w:pPr>
            <w:pStyle w:val="ekvpagina"/>
          </w:pPr>
        </w:p>
      </w:tc>
    </w:tr>
  </w:tbl>
  <w:p w14:paraId="74773B1B"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51EC5B" w14:textId="77777777" w:rsidR="008A0AEC" w:rsidRDefault="008A0AEC" w:rsidP="003C599D">
      <w:pPr>
        <w:spacing w:line="240" w:lineRule="auto"/>
      </w:pPr>
      <w:r>
        <w:separator/>
      </w:r>
    </w:p>
  </w:footnote>
  <w:footnote w:type="continuationSeparator" w:id="0">
    <w:p w14:paraId="3B2224AE" w14:textId="77777777" w:rsidR="008A0AEC" w:rsidRDefault="008A0AEC" w:rsidP="003C599D">
      <w:pPr>
        <w:spacing w:line="240" w:lineRule="auto"/>
      </w:pPr>
      <w:r>
        <w:continuationSeparator/>
      </w:r>
    </w:p>
  </w:footnote>
  <w:footnote w:id="1">
    <w:p w14:paraId="2D9B9FA4" w14:textId="7AF20B79" w:rsidR="002116F6" w:rsidRDefault="002116F6" w:rsidP="002116F6">
      <w:pPr>
        <w:pStyle w:val="ekvfussnote"/>
      </w:pPr>
      <w:r>
        <w:rPr>
          <w:rStyle w:val="Funotenzeichen"/>
        </w:rPr>
        <w:footnoteRef/>
      </w:r>
      <w:r>
        <w:t xml:space="preserve"> </w:t>
      </w:r>
      <w:r w:rsidRPr="002116F6">
        <w:rPr>
          <w:rStyle w:val="ekvkursiv"/>
        </w:rPr>
        <w:t>l'appétit vient en mangeant</w:t>
      </w:r>
      <w:r w:rsidRPr="002116F6">
        <w:t>: (frz.) Redewendung: Der Appetit kommt beim Essen.</w:t>
      </w:r>
    </w:p>
  </w:footnote>
  <w:footnote w:id="2">
    <w:p w14:paraId="79739BF9" w14:textId="103B62E0" w:rsidR="002116F6" w:rsidRDefault="002116F6" w:rsidP="002116F6">
      <w:pPr>
        <w:pStyle w:val="ekvfussnote"/>
      </w:pPr>
      <w:r>
        <w:rPr>
          <w:rStyle w:val="Funotenzeichen"/>
        </w:rPr>
        <w:footnoteRef/>
      </w:r>
      <w:r>
        <w:t xml:space="preserve"> </w:t>
      </w:r>
      <w:r w:rsidRPr="002116F6">
        <w:rPr>
          <w:rStyle w:val="ekvkursiv"/>
        </w:rPr>
        <w:t>l'idée vient en parlant</w:t>
      </w:r>
      <w:r w:rsidRPr="002116F6">
        <w:t>: (frz.) Übertragung der Redewendung: Die Idee kommt beim Sprechen.</w:t>
      </w:r>
    </w:p>
  </w:footnote>
  <w:footnote w:id="3">
    <w:p w14:paraId="20E104AB" w14:textId="77777777" w:rsidR="00A22A6B" w:rsidRDefault="00A22A6B" w:rsidP="00A22A6B">
      <w:pPr>
        <w:pStyle w:val="ekvfussnote"/>
      </w:pPr>
      <w:r>
        <w:rPr>
          <w:rStyle w:val="Funotenzeichen"/>
        </w:rPr>
        <w:footnoteRef/>
      </w:r>
      <w:r>
        <w:t xml:space="preserve"> </w:t>
      </w:r>
      <w:r w:rsidRPr="002116F6">
        <w:t>Leonhard Euler (1707</w:t>
      </w:r>
      <w:r>
        <w:t>–</w:t>
      </w:r>
      <w:r w:rsidRPr="002116F6">
        <w:t>1783), Schweizer Mathematiker</w:t>
      </w:r>
    </w:p>
  </w:footnote>
  <w:footnote w:id="4">
    <w:p w14:paraId="737CDF1F" w14:textId="77777777" w:rsidR="00A22A6B" w:rsidRDefault="00A22A6B" w:rsidP="00A22A6B">
      <w:pPr>
        <w:pStyle w:val="ekvfussnote"/>
      </w:pPr>
      <w:r>
        <w:rPr>
          <w:rStyle w:val="Funotenzeichen"/>
        </w:rPr>
        <w:footnoteRef/>
      </w:r>
      <w:r>
        <w:t xml:space="preserve"> </w:t>
      </w:r>
      <w:r w:rsidRPr="002116F6">
        <w:t>Abraham Gotthelf Kästner (1719</w:t>
      </w:r>
      <w:r>
        <w:t>–</w:t>
      </w:r>
      <w:r w:rsidRPr="002116F6">
        <w:t>1800), Mathematiker und Doktorvater von Carl Friedrich Gauß, lehrte an der Universität</w:t>
      </w:r>
      <w:r>
        <w:t> </w:t>
      </w:r>
      <w:r w:rsidRPr="002116F6">
        <w:t>Leipzig</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AEC"/>
    <w:rsid w:val="000040E2"/>
    <w:rsid w:val="0001210D"/>
    <w:rsid w:val="00014D7E"/>
    <w:rsid w:val="0002009E"/>
    <w:rsid w:val="00020440"/>
    <w:rsid w:val="000307B4"/>
    <w:rsid w:val="00030EDB"/>
    <w:rsid w:val="00035074"/>
    <w:rsid w:val="00037566"/>
    <w:rsid w:val="00043523"/>
    <w:rsid w:val="00046012"/>
    <w:rsid w:val="000520A2"/>
    <w:rsid w:val="000523D4"/>
    <w:rsid w:val="00053B2F"/>
    <w:rsid w:val="00054678"/>
    <w:rsid w:val="00054A93"/>
    <w:rsid w:val="00055ED1"/>
    <w:rsid w:val="0006258C"/>
    <w:rsid w:val="00062D31"/>
    <w:rsid w:val="00076601"/>
    <w:rsid w:val="000779C3"/>
    <w:rsid w:val="000812E6"/>
    <w:rsid w:val="00082008"/>
    <w:rsid w:val="000902DF"/>
    <w:rsid w:val="00090AB2"/>
    <w:rsid w:val="000928AA"/>
    <w:rsid w:val="00092E87"/>
    <w:rsid w:val="000939F5"/>
    <w:rsid w:val="00094F01"/>
    <w:rsid w:val="000A13A1"/>
    <w:rsid w:val="000A2425"/>
    <w:rsid w:val="000A3C89"/>
    <w:rsid w:val="000A4BD4"/>
    <w:rsid w:val="000A51A5"/>
    <w:rsid w:val="000A7892"/>
    <w:rsid w:val="000B098D"/>
    <w:rsid w:val="000B7BD3"/>
    <w:rsid w:val="000C11E0"/>
    <w:rsid w:val="000C77CA"/>
    <w:rsid w:val="000D40DE"/>
    <w:rsid w:val="000D4791"/>
    <w:rsid w:val="000D5ADE"/>
    <w:rsid w:val="000E343E"/>
    <w:rsid w:val="000E72F2"/>
    <w:rsid w:val="000F21E8"/>
    <w:rsid w:val="000F47EE"/>
    <w:rsid w:val="000F6468"/>
    <w:rsid w:val="000F7910"/>
    <w:rsid w:val="00103057"/>
    <w:rsid w:val="00107D77"/>
    <w:rsid w:val="00116EF2"/>
    <w:rsid w:val="00124062"/>
    <w:rsid w:val="00126C2B"/>
    <w:rsid w:val="00131417"/>
    <w:rsid w:val="00137DDD"/>
    <w:rsid w:val="00140765"/>
    <w:rsid w:val="001524C9"/>
    <w:rsid w:val="00155564"/>
    <w:rsid w:val="00161B4B"/>
    <w:rsid w:val="001641FA"/>
    <w:rsid w:val="0016475A"/>
    <w:rsid w:val="00165D0D"/>
    <w:rsid w:val="00165ECC"/>
    <w:rsid w:val="00166019"/>
    <w:rsid w:val="00182050"/>
    <w:rsid w:val="0018248B"/>
    <w:rsid w:val="00182964"/>
    <w:rsid w:val="00182B7D"/>
    <w:rsid w:val="001845AC"/>
    <w:rsid w:val="00186866"/>
    <w:rsid w:val="00190B65"/>
    <w:rsid w:val="00193A18"/>
    <w:rsid w:val="001A3936"/>
    <w:rsid w:val="001A5BD5"/>
    <w:rsid w:val="001B454A"/>
    <w:rsid w:val="001C2DC7"/>
    <w:rsid w:val="001C2F20"/>
    <w:rsid w:val="001C3792"/>
    <w:rsid w:val="001C499E"/>
    <w:rsid w:val="001C6C8F"/>
    <w:rsid w:val="001D1169"/>
    <w:rsid w:val="001D2674"/>
    <w:rsid w:val="001D39FD"/>
    <w:rsid w:val="001D7E89"/>
    <w:rsid w:val="001E485B"/>
    <w:rsid w:val="001F1E3D"/>
    <w:rsid w:val="001F26EC"/>
    <w:rsid w:val="001F53F1"/>
    <w:rsid w:val="0020055A"/>
    <w:rsid w:val="00201AA1"/>
    <w:rsid w:val="00205239"/>
    <w:rsid w:val="00205866"/>
    <w:rsid w:val="002116F6"/>
    <w:rsid w:val="00214764"/>
    <w:rsid w:val="00216D91"/>
    <w:rsid w:val="002240EA"/>
    <w:rsid w:val="002266E8"/>
    <w:rsid w:val="002277D2"/>
    <w:rsid w:val="002301FF"/>
    <w:rsid w:val="00232213"/>
    <w:rsid w:val="00245DA5"/>
    <w:rsid w:val="00246F77"/>
    <w:rsid w:val="002527A5"/>
    <w:rsid w:val="002548B1"/>
    <w:rsid w:val="00255466"/>
    <w:rsid w:val="00255FE3"/>
    <w:rsid w:val="0025733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7B24"/>
    <w:rsid w:val="00287DC0"/>
    <w:rsid w:val="00291485"/>
    <w:rsid w:val="00292470"/>
    <w:rsid w:val="0029673A"/>
    <w:rsid w:val="002A25AE"/>
    <w:rsid w:val="002B3DF1"/>
    <w:rsid w:val="002B64EA"/>
    <w:rsid w:val="002C5D15"/>
    <w:rsid w:val="002D2825"/>
    <w:rsid w:val="002D41F4"/>
    <w:rsid w:val="002D46E0"/>
    <w:rsid w:val="002D5029"/>
    <w:rsid w:val="002D7B0C"/>
    <w:rsid w:val="002D7B42"/>
    <w:rsid w:val="002E163A"/>
    <w:rsid w:val="002E21C3"/>
    <w:rsid w:val="002E4656"/>
    <w:rsid w:val="002F1328"/>
    <w:rsid w:val="002F5FFC"/>
    <w:rsid w:val="00302866"/>
    <w:rsid w:val="00303749"/>
    <w:rsid w:val="00304833"/>
    <w:rsid w:val="00313596"/>
    <w:rsid w:val="00313FD8"/>
    <w:rsid w:val="00314970"/>
    <w:rsid w:val="00315EA9"/>
    <w:rsid w:val="00320087"/>
    <w:rsid w:val="00321063"/>
    <w:rsid w:val="00323448"/>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0B3"/>
    <w:rsid w:val="003714AA"/>
    <w:rsid w:val="00376678"/>
    <w:rsid w:val="00376A0A"/>
    <w:rsid w:val="00380B14"/>
    <w:rsid w:val="0038356B"/>
    <w:rsid w:val="00384305"/>
    <w:rsid w:val="0039268F"/>
    <w:rsid w:val="00392F9B"/>
    <w:rsid w:val="00394595"/>
    <w:rsid w:val="003945FF"/>
    <w:rsid w:val="0039465E"/>
    <w:rsid w:val="003A1A19"/>
    <w:rsid w:val="003A42D3"/>
    <w:rsid w:val="003A4682"/>
    <w:rsid w:val="003A4E58"/>
    <w:rsid w:val="003A5B0C"/>
    <w:rsid w:val="003B348E"/>
    <w:rsid w:val="003B3ED5"/>
    <w:rsid w:val="003B5B3A"/>
    <w:rsid w:val="003C39DC"/>
    <w:rsid w:val="003C599D"/>
    <w:rsid w:val="003D3D68"/>
    <w:rsid w:val="003D70F5"/>
    <w:rsid w:val="003E21AC"/>
    <w:rsid w:val="003E6330"/>
    <w:rsid w:val="003E78AB"/>
    <w:rsid w:val="003E7B62"/>
    <w:rsid w:val="003F0467"/>
    <w:rsid w:val="003F362F"/>
    <w:rsid w:val="00405D0B"/>
    <w:rsid w:val="00406271"/>
    <w:rsid w:val="00411B18"/>
    <w:rsid w:val="004136AD"/>
    <w:rsid w:val="00415565"/>
    <w:rsid w:val="00415632"/>
    <w:rsid w:val="00415F8A"/>
    <w:rsid w:val="00420CAF"/>
    <w:rsid w:val="0042107E"/>
    <w:rsid w:val="00422EBC"/>
    <w:rsid w:val="004235B1"/>
    <w:rsid w:val="004236D5"/>
    <w:rsid w:val="00424375"/>
    <w:rsid w:val="004372DD"/>
    <w:rsid w:val="00441088"/>
    <w:rsid w:val="00441724"/>
    <w:rsid w:val="0044185E"/>
    <w:rsid w:val="00444C4D"/>
    <w:rsid w:val="00446431"/>
    <w:rsid w:val="00446AED"/>
    <w:rsid w:val="00454148"/>
    <w:rsid w:val="00460932"/>
    <w:rsid w:val="004621B3"/>
    <w:rsid w:val="0046364F"/>
    <w:rsid w:val="00465073"/>
    <w:rsid w:val="0047471A"/>
    <w:rsid w:val="00475402"/>
    <w:rsid w:val="00483A7A"/>
    <w:rsid w:val="00483D65"/>
    <w:rsid w:val="00484B24"/>
    <w:rsid w:val="00486B3D"/>
    <w:rsid w:val="00490692"/>
    <w:rsid w:val="004925F2"/>
    <w:rsid w:val="004929DA"/>
    <w:rsid w:val="004A4DBC"/>
    <w:rsid w:val="004A66C3"/>
    <w:rsid w:val="004A66CF"/>
    <w:rsid w:val="004B17DA"/>
    <w:rsid w:val="004C72A6"/>
    <w:rsid w:val="004E3969"/>
    <w:rsid w:val="004F45AB"/>
    <w:rsid w:val="00500F8B"/>
    <w:rsid w:val="00501528"/>
    <w:rsid w:val="00503EE6"/>
    <w:rsid w:val="005069C1"/>
    <w:rsid w:val="00510F4C"/>
    <w:rsid w:val="00514229"/>
    <w:rsid w:val="005156EC"/>
    <w:rsid w:val="005168A4"/>
    <w:rsid w:val="0052117E"/>
    <w:rsid w:val="00521B91"/>
    <w:rsid w:val="005252D2"/>
    <w:rsid w:val="005254B3"/>
    <w:rsid w:val="00530C92"/>
    <w:rsid w:val="00531F22"/>
    <w:rsid w:val="00535AD8"/>
    <w:rsid w:val="00547103"/>
    <w:rsid w:val="00554EDA"/>
    <w:rsid w:val="00560848"/>
    <w:rsid w:val="0057200E"/>
    <w:rsid w:val="00572A0F"/>
    <w:rsid w:val="00574FE0"/>
    <w:rsid w:val="00576D2D"/>
    <w:rsid w:val="00583FC8"/>
    <w:rsid w:val="00584F88"/>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439D"/>
    <w:rsid w:val="005F511A"/>
    <w:rsid w:val="0060030C"/>
    <w:rsid w:val="006011EC"/>
    <w:rsid w:val="00603AD5"/>
    <w:rsid w:val="00603C71"/>
    <w:rsid w:val="00605B68"/>
    <w:rsid w:val="006201CB"/>
    <w:rsid w:val="00622F6B"/>
    <w:rsid w:val="00627765"/>
    <w:rsid w:val="00627A02"/>
    <w:rsid w:val="006306A8"/>
    <w:rsid w:val="0064120B"/>
    <w:rsid w:val="00644BA9"/>
    <w:rsid w:val="0064692C"/>
    <w:rsid w:val="00653F68"/>
    <w:rsid w:val="00664326"/>
    <w:rsid w:val="00666D95"/>
    <w:rsid w:val="00677D2D"/>
    <w:rsid w:val="006802C4"/>
    <w:rsid w:val="0068429A"/>
    <w:rsid w:val="00685FDD"/>
    <w:rsid w:val="006912DC"/>
    <w:rsid w:val="00693676"/>
    <w:rsid w:val="006A5611"/>
    <w:rsid w:val="006A71DE"/>
    <w:rsid w:val="006A76D7"/>
    <w:rsid w:val="006B0743"/>
    <w:rsid w:val="006B2D23"/>
    <w:rsid w:val="006B3EF4"/>
    <w:rsid w:val="006B50BE"/>
    <w:rsid w:val="006B6247"/>
    <w:rsid w:val="006C4208"/>
    <w:rsid w:val="006C4E52"/>
    <w:rsid w:val="006C6A77"/>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28A6"/>
    <w:rsid w:val="00722BE8"/>
    <w:rsid w:val="00724064"/>
    <w:rsid w:val="007244CC"/>
    <w:rsid w:val="0073042D"/>
    <w:rsid w:val="0073238D"/>
    <w:rsid w:val="00733A44"/>
    <w:rsid w:val="00735F1A"/>
    <w:rsid w:val="00741417"/>
    <w:rsid w:val="00745BC6"/>
    <w:rsid w:val="007507F9"/>
    <w:rsid w:val="00751B0E"/>
    <w:rsid w:val="00755513"/>
    <w:rsid w:val="00756014"/>
    <w:rsid w:val="00760C41"/>
    <w:rsid w:val="007614A2"/>
    <w:rsid w:val="007619B6"/>
    <w:rsid w:val="007636A0"/>
    <w:rsid w:val="00764797"/>
    <w:rsid w:val="00765F44"/>
    <w:rsid w:val="007661BA"/>
    <w:rsid w:val="00766405"/>
    <w:rsid w:val="0076691A"/>
    <w:rsid w:val="00772DA9"/>
    <w:rsid w:val="00775322"/>
    <w:rsid w:val="007814C9"/>
    <w:rsid w:val="00781BA9"/>
    <w:rsid w:val="00787700"/>
    <w:rsid w:val="00794685"/>
    <w:rsid w:val="007A0DAF"/>
    <w:rsid w:val="007A18E0"/>
    <w:rsid w:val="007A2F5A"/>
    <w:rsid w:val="007A5AA1"/>
    <w:rsid w:val="007C1230"/>
    <w:rsid w:val="007D186F"/>
    <w:rsid w:val="007E4DDC"/>
    <w:rsid w:val="007E5E71"/>
    <w:rsid w:val="007E67B3"/>
    <w:rsid w:val="008018A8"/>
    <w:rsid w:val="00801B7F"/>
    <w:rsid w:val="00802E02"/>
    <w:rsid w:val="00810225"/>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C21"/>
    <w:rsid w:val="00874376"/>
    <w:rsid w:val="008774BB"/>
    <w:rsid w:val="00882053"/>
    <w:rsid w:val="008942A2"/>
    <w:rsid w:val="0089534A"/>
    <w:rsid w:val="008A0AEC"/>
    <w:rsid w:val="008A529C"/>
    <w:rsid w:val="008B446A"/>
    <w:rsid w:val="008B5E47"/>
    <w:rsid w:val="008B68A2"/>
    <w:rsid w:val="008C0880"/>
    <w:rsid w:val="008C27FD"/>
    <w:rsid w:val="008D17FC"/>
    <w:rsid w:val="008D3CE0"/>
    <w:rsid w:val="008D7FDC"/>
    <w:rsid w:val="008E27A9"/>
    <w:rsid w:val="008E4B7A"/>
    <w:rsid w:val="008E6248"/>
    <w:rsid w:val="008F0CFF"/>
    <w:rsid w:val="008F2AE7"/>
    <w:rsid w:val="008F6EDE"/>
    <w:rsid w:val="00902002"/>
    <w:rsid w:val="00902CEB"/>
    <w:rsid w:val="009064C0"/>
    <w:rsid w:val="009078CB"/>
    <w:rsid w:val="00907EC2"/>
    <w:rsid w:val="00912A0A"/>
    <w:rsid w:val="00913598"/>
    <w:rsid w:val="00913892"/>
    <w:rsid w:val="009215E3"/>
    <w:rsid w:val="00931977"/>
    <w:rsid w:val="00936CF0"/>
    <w:rsid w:val="00940C1A"/>
    <w:rsid w:val="00942106"/>
    <w:rsid w:val="0094260D"/>
    <w:rsid w:val="00946121"/>
    <w:rsid w:val="00946AE2"/>
    <w:rsid w:val="00950ADE"/>
    <w:rsid w:val="00952A59"/>
    <w:rsid w:val="00952B21"/>
    <w:rsid w:val="009561C4"/>
    <w:rsid w:val="00956783"/>
    <w:rsid w:val="00957248"/>
    <w:rsid w:val="00957969"/>
    <w:rsid w:val="00962A4D"/>
    <w:rsid w:val="009634E9"/>
    <w:rsid w:val="00964A22"/>
    <w:rsid w:val="009656E9"/>
    <w:rsid w:val="00967C71"/>
    <w:rsid w:val="00967E19"/>
    <w:rsid w:val="0097586E"/>
    <w:rsid w:val="00976E17"/>
    <w:rsid w:val="00977556"/>
    <w:rsid w:val="009800AB"/>
    <w:rsid w:val="00981DFC"/>
    <w:rsid w:val="00985264"/>
    <w:rsid w:val="009856A1"/>
    <w:rsid w:val="00990D91"/>
    <w:rsid w:val="00990D9D"/>
    <w:rsid w:val="009915B2"/>
    <w:rsid w:val="00992B92"/>
    <w:rsid w:val="009A056D"/>
    <w:rsid w:val="009A17FC"/>
    <w:rsid w:val="009A2869"/>
    <w:rsid w:val="009A50D4"/>
    <w:rsid w:val="009A67D7"/>
    <w:rsid w:val="009A7614"/>
    <w:rsid w:val="009B3B42"/>
    <w:rsid w:val="009C016F"/>
    <w:rsid w:val="009C26DF"/>
    <w:rsid w:val="009C2A7B"/>
    <w:rsid w:val="009C3C75"/>
    <w:rsid w:val="009C4BE5"/>
    <w:rsid w:val="009C7609"/>
    <w:rsid w:val="009E17E1"/>
    <w:rsid w:val="009E1BBE"/>
    <w:rsid w:val="009E45C5"/>
    <w:rsid w:val="009E47B1"/>
    <w:rsid w:val="009F003E"/>
    <w:rsid w:val="009F0109"/>
    <w:rsid w:val="009F01E9"/>
    <w:rsid w:val="009F1065"/>
    <w:rsid w:val="009F1185"/>
    <w:rsid w:val="009F2A87"/>
    <w:rsid w:val="009F5416"/>
    <w:rsid w:val="009F7C95"/>
    <w:rsid w:val="00A024FF"/>
    <w:rsid w:val="00A04D00"/>
    <w:rsid w:val="00A05E18"/>
    <w:rsid w:val="00A06EFE"/>
    <w:rsid w:val="00A13F07"/>
    <w:rsid w:val="00A170E5"/>
    <w:rsid w:val="00A2146F"/>
    <w:rsid w:val="00A22154"/>
    <w:rsid w:val="00A22A6B"/>
    <w:rsid w:val="00A238E9"/>
    <w:rsid w:val="00A23E76"/>
    <w:rsid w:val="00A26B32"/>
    <w:rsid w:val="00A27593"/>
    <w:rsid w:val="00A35787"/>
    <w:rsid w:val="00A3685C"/>
    <w:rsid w:val="00A43B4C"/>
    <w:rsid w:val="00A44E8B"/>
    <w:rsid w:val="00A478DC"/>
    <w:rsid w:val="00A537D4"/>
    <w:rsid w:val="00A62578"/>
    <w:rsid w:val="00A701AF"/>
    <w:rsid w:val="00A7137C"/>
    <w:rsid w:val="00A75504"/>
    <w:rsid w:val="00A8296D"/>
    <w:rsid w:val="00A83EBE"/>
    <w:rsid w:val="00A8594A"/>
    <w:rsid w:val="00A86417"/>
    <w:rsid w:val="00A8687B"/>
    <w:rsid w:val="00A92B79"/>
    <w:rsid w:val="00A9695B"/>
    <w:rsid w:val="00AA1756"/>
    <w:rsid w:val="00AA3E8B"/>
    <w:rsid w:val="00AA5A5A"/>
    <w:rsid w:val="00AA5D60"/>
    <w:rsid w:val="00AB05CF"/>
    <w:rsid w:val="00AB0DA8"/>
    <w:rsid w:val="00AB18CA"/>
    <w:rsid w:val="00AB5327"/>
    <w:rsid w:val="00AB6AE5"/>
    <w:rsid w:val="00AB7619"/>
    <w:rsid w:val="00AB7E43"/>
    <w:rsid w:val="00AC01E7"/>
    <w:rsid w:val="00AC7B89"/>
    <w:rsid w:val="00AD4D22"/>
    <w:rsid w:val="00AE65F6"/>
    <w:rsid w:val="00AF053E"/>
    <w:rsid w:val="00B00587"/>
    <w:rsid w:val="00B039E8"/>
    <w:rsid w:val="00B07FEC"/>
    <w:rsid w:val="00B12500"/>
    <w:rsid w:val="00B14B45"/>
    <w:rsid w:val="00B155E8"/>
    <w:rsid w:val="00B15F75"/>
    <w:rsid w:val="00B2194E"/>
    <w:rsid w:val="00B31F29"/>
    <w:rsid w:val="00B32DAF"/>
    <w:rsid w:val="00B336B9"/>
    <w:rsid w:val="00B3499A"/>
    <w:rsid w:val="00B35D1C"/>
    <w:rsid w:val="00B37E68"/>
    <w:rsid w:val="00B468CC"/>
    <w:rsid w:val="00B52FB3"/>
    <w:rsid w:val="00B54655"/>
    <w:rsid w:val="00B54E84"/>
    <w:rsid w:val="00B6045F"/>
    <w:rsid w:val="00B60BEA"/>
    <w:rsid w:val="00B7242A"/>
    <w:rsid w:val="00B8071F"/>
    <w:rsid w:val="00B82B4E"/>
    <w:rsid w:val="00B83510"/>
    <w:rsid w:val="00B8420E"/>
    <w:rsid w:val="00B87CF7"/>
    <w:rsid w:val="00B90CE1"/>
    <w:rsid w:val="00BA1A23"/>
    <w:rsid w:val="00BA2134"/>
    <w:rsid w:val="00BA68B4"/>
    <w:rsid w:val="00BB2F2F"/>
    <w:rsid w:val="00BC2025"/>
    <w:rsid w:val="00BC2CD2"/>
    <w:rsid w:val="00BC6483"/>
    <w:rsid w:val="00BC69E3"/>
    <w:rsid w:val="00BC7335"/>
    <w:rsid w:val="00BD542D"/>
    <w:rsid w:val="00BD6E66"/>
    <w:rsid w:val="00BE1962"/>
    <w:rsid w:val="00BE4821"/>
    <w:rsid w:val="00BF17F2"/>
    <w:rsid w:val="00C00404"/>
    <w:rsid w:val="00C00540"/>
    <w:rsid w:val="00C172AE"/>
    <w:rsid w:val="00C17BE6"/>
    <w:rsid w:val="00C329CE"/>
    <w:rsid w:val="00C343F5"/>
    <w:rsid w:val="00C35D4D"/>
    <w:rsid w:val="00C40555"/>
    <w:rsid w:val="00C40D51"/>
    <w:rsid w:val="00C429A6"/>
    <w:rsid w:val="00C45D3B"/>
    <w:rsid w:val="00C46BF4"/>
    <w:rsid w:val="00C504F8"/>
    <w:rsid w:val="00C52804"/>
    <w:rsid w:val="00C52A99"/>
    <w:rsid w:val="00C52AB7"/>
    <w:rsid w:val="00C55A37"/>
    <w:rsid w:val="00C61654"/>
    <w:rsid w:val="00C70F84"/>
    <w:rsid w:val="00C727B3"/>
    <w:rsid w:val="00C72BA2"/>
    <w:rsid w:val="00C84E4C"/>
    <w:rsid w:val="00C87044"/>
    <w:rsid w:val="00C94D17"/>
    <w:rsid w:val="00CB17F5"/>
    <w:rsid w:val="00CB27C6"/>
    <w:rsid w:val="00CB3952"/>
    <w:rsid w:val="00CB463B"/>
    <w:rsid w:val="00CB5B82"/>
    <w:rsid w:val="00CB6F99"/>
    <w:rsid w:val="00CB782D"/>
    <w:rsid w:val="00CC54E0"/>
    <w:rsid w:val="00CC65A8"/>
    <w:rsid w:val="00CC6C7E"/>
    <w:rsid w:val="00CC7DBB"/>
    <w:rsid w:val="00CD4219"/>
    <w:rsid w:val="00CD5490"/>
    <w:rsid w:val="00CD6369"/>
    <w:rsid w:val="00CE1EBF"/>
    <w:rsid w:val="00CE2A37"/>
    <w:rsid w:val="00CE34A0"/>
    <w:rsid w:val="00CE3E54"/>
    <w:rsid w:val="00CF29B8"/>
    <w:rsid w:val="00CF2E07"/>
    <w:rsid w:val="00CF2E1A"/>
    <w:rsid w:val="00CF6EC0"/>
    <w:rsid w:val="00CF715C"/>
    <w:rsid w:val="00D022EC"/>
    <w:rsid w:val="00D05217"/>
    <w:rsid w:val="00D06182"/>
    <w:rsid w:val="00D125BD"/>
    <w:rsid w:val="00D12661"/>
    <w:rsid w:val="00D14CCF"/>
    <w:rsid w:val="00D14F61"/>
    <w:rsid w:val="00D1582D"/>
    <w:rsid w:val="00D1794B"/>
    <w:rsid w:val="00D2569D"/>
    <w:rsid w:val="00D27A1B"/>
    <w:rsid w:val="00D34DC1"/>
    <w:rsid w:val="00D403F7"/>
    <w:rsid w:val="00D462C1"/>
    <w:rsid w:val="00D539FC"/>
    <w:rsid w:val="00D559DE"/>
    <w:rsid w:val="00D5655D"/>
    <w:rsid w:val="00D56FEB"/>
    <w:rsid w:val="00D6083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201C"/>
    <w:rsid w:val="00D92EAD"/>
    <w:rsid w:val="00D94CC2"/>
    <w:rsid w:val="00D96D4A"/>
    <w:rsid w:val="00DA1633"/>
    <w:rsid w:val="00DA29C3"/>
    <w:rsid w:val="00DA6422"/>
    <w:rsid w:val="00DB0557"/>
    <w:rsid w:val="00DB2C80"/>
    <w:rsid w:val="00DC2340"/>
    <w:rsid w:val="00DC30DA"/>
    <w:rsid w:val="00DC32AF"/>
    <w:rsid w:val="00DC529F"/>
    <w:rsid w:val="00DE287B"/>
    <w:rsid w:val="00DE603B"/>
    <w:rsid w:val="00DF129D"/>
    <w:rsid w:val="00DF2DAC"/>
    <w:rsid w:val="00DF42C1"/>
    <w:rsid w:val="00DF4371"/>
    <w:rsid w:val="00DF625F"/>
    <w:rsid w:val="00DF676B"/>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7542"/>
    <w:rsid w:val="00EB2280"/>
    <w:rsid w:val="00EC1621"/>
    <w:rsid w:val="00EC1FF0"/>
    <w:rsid w:val="00EC662E"/>
    <w:rsid w:val="00ED07FE"/>
    <w:rsid w:val="00ED0B7D"/>
    <w:rsid w:val="00EE049D"/>
    <w:rsid w:val="00EE2721"/>
    <w:rsid w:val="00EE2A0B"/>
    <w:rsid w:val="00EF190C"/>
    <w:rsid w:val="00EF6029"/>
    <w:rsid w:val="00F03C39"/>
    <w:rsid w:val="00F16DA0"/>
    <w:rsid w:val="00F23134"/>
    <w:rsid w:val="00F23554"/>
    <w:rsid w:val="00F241DA"/>
    <w:rsid w:val="00F24740"/>
    <w:rsid w:val="00F30571"/>
    <w:rsid w:val="00F32ED5"/>
    <w:rsid w:val="00F335CB"/>
    <w:rsid w:val="00F35DB1"/>
    <w:rsid w:val="00F3651F"/>
    <w:rsid w:val="00F36D0F"/>
    <w:rsid w:val="00F4144F"/>
    <w:rsid w:val="00F42294"/>
    <w:rsid w:val="00F42F7B"/>
    <w:rsid w:val="00F459EB"/>
    <w:rsid w:val="00F45B63"/>
    <w:rsid w:val="00F52C9C"/>
    <w:rsid w:val="00F55BE1"/>
    <w:rsid w:val="00F60690"/>
    <w:rsid w:val="00F62F95"/>
    <w:rsid w:val="00F6336A"/>
    <w:rsid w:val="00F72065"/>
    <w:rsid w:val="00F75722"/>
    <w:rsid w:val="00F778DC"/>
    <w:rsid w:val="00F849BE"/>
    <w:rsid w:val="00F94A4B"/>
    <w:rsid w:val="00F97AD4"/>
    <w:rsid w:val="00FA3E81"/>
    <w:rsid w:val="00FB0917"/>
    <w:rsid w:val="00FB0F16"/>
    <w:rsid w:val="00FB123D"/>
    <w:rsid w:val="00FB1D7F"/>
    <w:rsid w:val="00FB59FB"/>
    <w:rsid w:val="00FB72A0"/>
    <w:rsid w:val="00FC1D8A"/>
    <w:rsid w:val="00FC35C5"/>
    <w:rsid w:val="00FC7DBF"/>
    <w:rsid w:val="00FD328B"/>
    <w:rsid w:val="00FD3362"/>
    <w:rsid w:val="00FE2067"/>
    <w:rsid w:val="00FE4FE6"/>
    <w:rsid w:val="00FF1E96"/>
    <w:rsid w:val="00FF2E7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CAB165"/>
  <w15:chartTrackingRefBased/>
  <w15:docId w15:val="{54D0464E-A19C-4A81-BF3E-D21176DB4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C329CE"/>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unhideWhenUsed/>
    <w:qFormat/>
    <w:rsid w:val="003D3D68"/>
    <w:pPr>
      <w:spacing w:line="240" w:lineRule="auto"/>
    </w:pPr>
    <w:rPr>
      <w:sz w:val="16"/>
    </w:rPr>
  </w:style>
  <w:style w:type="paragraph" w:customStyle="1" w:styleId="ekvkvnummer">
    <w:name w:val="ekv.kv.nummer"/>
    <w:basedOn w:val="Standard"/>
    <w:uiPriority w:val="48"/>
    <w:semiHidden/>
    <w:unhideWhenUsed/>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5254B3"/>
    <w:rPr>
      <w:sz w:val="16"/>
    </w:rPr>
  </w:style>
  <w:style w:type="character" w:customStyle="1" w:styleId="ekvsymbol">
    <w:name w:val="ekv.symbol"/>
    <w:basedOn w:val="Absatz-Standardschriftart"/>
    <w:uiPriority w:val="1"/>
    <w:semiHidden/>
    <w:unhideWhenUsed/>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nhideWhenUsed/>
    <w:qFormat/>
    <w:rsid w:val="0044185E"/>
    <w:pPr>
      <w:shd w:val="clear" w:color="auto" w:fill="A6A6A6" w:themeFill="background1" w:themeFillShade="A6"/>
      <w:spacing w:before="40" w:after="120"/>
    </w:pPr>
  </w:style>
  <w:style w:type="paragraph" w:customStyle="1" w:styleId="ekvboxtext">
    <w:name w:val="ekv.box.text"/>
    <w:basedOn w:val="Standard"/>
    <w:unhideWhenUsed/>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F60690"/>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F60690"/>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F60690"/>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F60690"/>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semiHidden/>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F60690"/>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F60690"/>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F60690"/>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F60690"/>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F60690"/>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unhideWhenUsed/>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semiHidden/>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940C1A"/>
    <w:pPr>
      <w:tabs>
        <w:tab w:val="clear" w:pos="340"/>
        <w:tab w:val="clear" w:pos="595"/>
        <w:tab w:val="clear" w:pos="851"/>
      </w:tabs>
      <w:spacing w:line="130" w:lineRule="exact"/>
    </w:pPr>
    <w:rPr>
      <w:rFonts w:eastAsia="Times New Roman" w:cs="Arial"/>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940C1A"/>
    <w:pPr>
      <w:tabs>
        <w:tab w:val="clear" w:pos="340"/>
        <w:tab w:val="clear" w:pos="595"/>
        <w:tab w:val="clear" w:pos="851"/>
        <w:tab w:val="left" w:pos="794"/>
        <w:tab w:val="left" w:pos="936"/>
        <w:tab w:val="left" w:pos="1134"/>
        <w:tab w:val="left" w:pos="1191"/>
      </w:tabs>
      <w:ind w:left="680" w:hanging="340"/>
    </w:pPr>
    <w:rPr>
      <w:rFonts w:eastAsia="Times New Roman" w:cs="Times New Roman"/>
    </w:rPr>
  </w:style>
  <w:style w:type="paragraph" w:customStyle="1" w:styleId="ekvaufzhlung2">
    <w:name w:val="ekv.aufzählung.2"/>
    <w:basedOn w:val="Standard"/>
    <w:rsid w:val="00940C1A"/>
    <w:pPr>
      <w:tabs>
        <w:tab w:val="clear" w:pos="340"/>
        <w:tab w:val="clear" w:pos="595"/>
        <w:tab w:val="clear" w:pos="851"/>
        <w:tab w:val="left" w:pos="1134"/>
        <w:tab w:val="left" w:pos="1276"/>
        <w:tab w:val="left" w:pos="1474"/>
        <w:tab w:val="left" w:pos="1531"/>
      </w:tabs>
      <w:ind w:left="1020" w:hanging="340"/>
    </w:pPr>
    <w:rPr>
      <w:rFonts w:eastAsia="Times New Roman" w:cs="Times New Roman"/>
    </w:rPr>
  </w:style>
  <w:style w:type="paragraph" w:customStyle="1" w:styleId="ekvaufzhlung3">
    <w:name w:val="ekv.aufzählung.3"/>
    <w:basedOn w:val="Standard"/>
    <w:rsid w:val="00940C1A"/>
    <w:pPr>
      <w:tabs>
        <w:tab w:val="clear" w:pos="340"/>
        <w:tab w:val="clear" w:pos="595"/>
        <w:tab w:val="clear" w:pos="851"/>
        <w:tab w:val="left" w:pos="1474"/>
        <w:tab w:val="left" w:pos="1616"/>
        <w:tab w:val="left" w:pos="1814"/>
        <w:tab w:val="left" w:pos="1871"/>
      </w:tabs>
      <w:ind w:left="1361" w:hanging="340"/>
    </w:pPr>
    <w:rPr>
      <w:rFonts w:eastAsia="Times New Roman" w:cs="Times New Roman"/>
    </w:r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940C1A"/>
    <w:rPr>
      <w:rFonts w:eastAsia="Times New Roman" w:cs="Times New Roman"/>
      <w:sz w:val="17"/>
    </w:rPr>
  </w:style>
  <w:style w:type="character" w:customStyle="1" w:styleId="ekvhandschriftausgeblendet">
    <w:name w:val="ekv.handschrift.ausgeblendet"/>
    <w:basedOn w:val="Absatz-Standardschriftart"/>
    <w:uiPriority w:val="1"/>
    <w:semiHidden/>
    <w:qFormat/>
    <w:rsid w:val="00F60690"/>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F60690"/>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F60690"/>
    <w:rPr>
      <w:rFonts w:ascii="Comic Sans MS" w:hAnsi="Comic Sans MS"/>
      <w:noProof/>
      <w:color w:val="FFFFFF" w:themeColor="background1"/>
      <w:sz w:val="21"/>
      <w:lang w:val="de-DE"/>
    </w:rPr>
  </w:style>
  <w:style w:type="paragraph" w:customStyle="1" w:styleId="ekvue1fremdtext">
    <w:name w:val="ekv.ue1.fremdtext"/>
    <w:basedOn w:val="Standard"/>
    <w:qFormat/>
    <w:rsid w:val="00940C1A"/>
    <w:pPr>
      <w:spacing w:line="240" w:lineRule="auto"/>
    </w:pPr>
    <w:rPr>
      <w:rFonts w:ascii="Times New Roman" w:eastAsia="Times New Roman" w:hAnsi="Times New Roman" w:cs="Times New Roman"/>
      <w:b/>
      <w:sz w:val="43"/>
    </w:rPr>
  </w:style>
  <w:style w:type="paragraph" w:customStyle="1" w:styleId="ekvue2fremdtext">
    <w:name w:val="ekv.ue2.fremdtext"/>
    <w:basedOn w:val="Standard"/>
    <w:qFormat/>
    <w:rsid w:val="00940C1A"/>
    <w:pPr>
      <w:spacing w:line="240" w:lineRule="auto"/>
    </w:pPr>
    <w:rPr>
      <w:rFonts w:ascii="Times New Roman" w:eastAsia="Times New Roman" w:hAnsi="Times New Roman" w:cs="Times New Roman"/>
      <w:b/>
      <w:sz w:val="29"/>
    </w:rPr>
  </w:style>
  <w:style w:type="paragraph" w:customStyle="1" w:styleId="ekvue3fremdtext">
    <w:name w:val="ekv.ue3.fremdtext"/>
    <w:basedOn w:val="Standard"/>
    <w:qFormat/>
    <w:rsid w:val="00940C1A"/>
    <w:pPr>
      <w:spacing w:line="240" w:lineRule="auto"/>
    </w:pPr>
    <w:rPr>
      <w:rFonts w:ascii="Times New Roman" w:eastAsia="Times New Roman" w:hAnsi="Times New Roman" w:cs="Times New Roman"/>
      <w:b/>
      <w:sz w:val="21"/>
    </w:rPr>
  </w:style>
  <w:style w:type="paragraph" w:customStyle="1" w:styleId="ekvworterluterung">
    <w:name w:val="ekv.worterläuterung"/>
    <w:basedOn w:val="Standard"/>
    <w:qFormat/>
    <w:rsid w:val="009F2A87"/>
    <w:pPr>
      <w:spacing w:line="200" w:lineRule="exact"/>
    </w:pPr>
    <w:rPr>
      <w:sz w:val="16"/>
    </w:rPr>
  </w:style>
  <w:style w:type="character" w:customStyle="1" w:styleId="ekvquellefett">
    <w:name w:val="ekv.quelle.fett"/>
    <w:basedOn w:val="Absatz-Standardschriftart"/>
    <w:uiPriority w:val="1"/>
    <w:qFormat/>
    <w:rsid w:val="003B5B3A"/>
    <w:rPr>
      <w:rFonts w:ascii="Arial" w:hAnsi="Arial"/>
      <w:b/>
      <w:sz w:val="10"/>
    </w:rPr>
  </w:style>
  <w:style w:type="paragraph" w:styleId="Funotentext">
    <w:name w:val="footnote text"/>
    <w:basedOn w:val="Standard"/>
    <w:link w:val="FunotentextZchn"/>
    <w:uiPriority w:val="99"/>
    <w:semiHidden/>
    <w:unhideWhenUsed/>
    <w:rsid w:val="002116F6"/>
    <w:pPr>
      <w:spacing w:line="240" w:lineRule="auto"/>
    </w:pPr>
    <w:rPr>
      <w:sz w:val="20"/>
      <w:szCs w:val="20"/>
    </w:rPr>
  </w:style>
  <w:style w:type="character" w:customStyle="1" w:styleId="FunotentextZchn">
    <w:name w:val="Fußnotentext Zchn"/>
    <w:basedOn w:val="Absatz-Standardschriftart"/>
    <w:link w:val="Funotentext"/>
    <w:uiPriority w:val="99"/>
    <w:semiHidden/>
    <w:rsid w:val="002116F6"/>
    <w:rPr>
      <w:rFonts w:ascii="Arial" w:hAnsi="Arial"/>
      <w:sz w:val="20"/>
      <w:szCs w:val="20"/>
    </w:rPr>
  </w:style>
  <w:style w:type="character" w:styleId="Funotenzeichen">
    <w:name w:val="footnote reference"/>
    <w:basedOn w:val="Absatz-Standardschriftart"/>
    <w:uiPriority w:val="99"/>
    <w:semiHidden/>
    <w:unhideWhenUsed/>
    <w:rsid w:val="002116F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ye281\AppData\Roaming\Microsoft\Templates\WD_KV_KL5_SSS_DEUTSCH_KOMPETENT_NG.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F9F1BB-DF41-4DC4-96CB-CAAA5EE3A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967</Words>
  <Characters>6099</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7052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7</cp:revision>
  <cp:lastPrinted>2016-12-23T16:36:00Z</cp:lastPrinted>
  <dcterms:created xsi:type="dcterms:W3CDTF">2024-02-08T07:41:00Z</dcterms:created>
  <dcterms:modified xsi:type="dcterms:W3CDTF">2024-04-16T11:40:00Z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DEUTSCH KOMPETENT NG  Version 1.06</vt:lpwstr>
  </property>
</Properties>
</file>