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3FBC" w14:textId="43E96338" w:rsidR="009169B1" w:rsidRDefault="00B36A22" w:rsidP="009169B1">
      <w:pPr>
        <w:pStyle w:val="ekvue3arial"/>
      </w:pPr>
      <w:r>
        <w:t xml:space="preserve">Lösungen zum </w:t>
      </w:r>
      <w:r w:rsidR="009169B1">
        <w:t xml:space="preserve">Arbeitsblatt </w:t>
      </w:r>
      <w:r w:rsidR="002E7CCA">
        <w:t>2</w:t>
      </w:r>
      <w:r w:rsidR="009169B1">
        <w:t xml:space="preserve"> zum </w:t>
      </w:r>
      <w:r w:rsidR="00971D61">
        <w:t>d</w:t>
      </w:r>
      <w:r w:rsidR="009169B1">
        <w:t>eutsch</w:t>
      </w:r>
      <w:r w:rsidR="00971D61">
        <w:t xml:space="preserve">-klett.de </w:t>
      </w:r>
      <w:r w:rsidR="009169B1">
        <w:t>Blog</w:t>
      </w:r>
      <w:r w:rsidR="00971D61">
        <w:t>a</w:t>
      </w:r>
      <w:r w:rsidR="009169B1">
        <w:t>rtikel „Die Macht der Bilder“</w:t>
      </w:r>
    </w:p>
    <w:p w14:paraId="3CA7AA10" w14:textId="77777777" w:rsidR="009169B1" w:rsidRDefault="009169B1" w:rsidP="009169B1"/>
    <w:p w14:paraId="39443ADB" w14:textId="44E7AA6A" w:rsidR="009169B1" w:rsidRDefault="002E7CCA" w:rsidP="009169B1">
      <w:pPr>
        <w:pStyle w:val="ekvue1arial"/>
      </w:pPr>
      <w:r w:rsidRPr="002E7CCA">
        <w:t>Schrift und Bildzeichen als Kommunikationsmittel verstehen</w:t>
      </w:r>
      <w:r w:rsidR="00B36A22">
        <w:t xml:space="preserve"> </w:t>
      </w:r>
    </w:p>
    <w:p w14:paraId="0992B4DC" w14:textId="77777777" w:rsidR="009169B1" w:rsidRDefault="009169B1" w:rsidP="009169B1"/>
    <w:p w14:paraId="7FC73014" w14:textId="77777777" w:rsidR="00D43CD3" w:rsidRDefault="00D43CD3" w:rsidP="009169B1"/>
    <w:p w14:paraId="26752FA5" w14:textId="77777777" w:rsidR="00BE4509" w:rsidRDefault="00BE4509" w:rsidP="00BE4509">
      <w:r w:rsidRPr="00B36A22">
        <w:t>Je nach Fach und Alter in der Lerngruppe können die Aufgaben 2 bzw. 1</w:t>
      </w:r>
      <w:r>
        <w:t>–</w:t>
      </w:r>
      <w:r w:rsidRPr="00B36A22">
        <w:t>4 reduziert oder zusammengefasst behandelt werden, wenn man weniger den Zeichencharakter behandeln und sich stärker auf die Wirkung von Bildern konzentrieren will.</w:t>
      </w:r>
    </w:p>
    <w:p w14:paraId="78B183A3" w14:textId="77777777" w:rsidR="00BE4509" w:rsidRDefault="00BE4509" w:rsidP="00BE4509"/>
    <w:p w14:paraId="4D13F4FB" w14:textId="77777777" w:rsidR="00BE4509" w:rsidRDefault="00BE4509" w:rsidP="00BE4509"/>
    <w:p w14:paraId="11AA2943" w14:textId="77777777" w:rsidR="00BE4509" w:rsidRDefault="00BE4509" w:rsidP="00BE4509">
      <w:pPr>
        <w:pStyle w:val="ekvaufzhlung"/>
      </w:pPr>
      <w:r w:rsidRPr="00DA2F47">
        <w:rPr>
          <w:rStyle w:val="ekvnummerierung"/>
        </w:rPr>
        <w:t>1</w:t>
      </w:r>
      <w:r>
        <w:tab/>
      </w:r>
      <w:r w:rsidRPr="00B36A22">
        <w:t>Das Wort „</w:t>
      </w:r>
      <w:proofErr w:type="spellStart"/>
      <w:r w:rsidRPr="00B36A22">
        <w:t>slim</w:t>
      </w:r>
      <w:proofErr w:type="spellEnd"/>
      <w:r w:rsidRPr="00B36A22">
        <w:t>“ ist im Satzkontext doppeldeutig: „</w:t>
      </w:r>
      <w:proofErr w:type="spellStart"/>
      <w:r w:rsidRPr="00B36A22">
        <w:t>slim</w:t>
      </w:r>
      <w:proofErr w:type="spellEnd"/>
      <w:r w:rsidRPr="00B36A22">
        <w:t>“ ist ein im Deutschen verbreiteter Anglizismus und bedeutet „schlank“; zugleich kann die Wortform als kindersprachliche (oder sonst reduzierte) Variante von „schlimm“ gelesen werden.</w:t>
      </w:r>
    </w:p>
    <w:p w14:paraId="47FDAE48" w14:textId="77777777" w:rsidR="00BE4509" w:rsidRDefault="00BE4509" w:rsidP="00BE4509"/>
    <w:p w14:paraId="6A13C9CF" w14:textId="77777777" w:rsidR="00BE4509" w:rsidRDefault="00BE4509" w:rsidP="00BE4509">
      <w:pPr>
        <w:pStyle w:val="ekvaufzhlung"/>
      </w:pPr>
      <w:r w:rsidRPr="00DA2F47">
        <w:rPr>
          <w:rStyle w:val="ekvnummerierung"/>
        </w:rPr>
        <w:t>2</w:t>
      </w:r>
      <w:r>
        <w:tab/>
      </w:r>
      <w:r w:rsidRPr="00B36A22">
        <w:t>Für de Saussure waren Zeichen vom Material unabhängig, weil das Material die Zeichenhaftigkeit nicht beeinflussen darf. Das Zeichen „A“ etwa (für das Lautbild /a/) bleibt dasselbe Zeichen, ob es nun „</w:t>
      </w:r>
      <w:r w:rsidRPr="00B36A22">
        <w:rPr>
          <w:rStyle w:val="ekvfett"/>
        </w:rPr>
        <w:t>A</w:t>
      </w:r>
      <w:r w:rsidRPr="00B36A22">
        <w:t>“ oder „A“ oder „</w:t>
      </w:r>
      <w:r w:rsidRPr="00B36A22">
        <w:rPr>
          <w:rStyle w:val="ekvhandschrift"/>
          <w:i/>
          <w:iCs/>
        </w:rPr>
        <w:t>A</w:t>
      </w:r>
      <w:r w:rsidRPr="00B36A22">
        <w:t>“ geschrieben wird. Das ist als Grundgedanke auch richtig. Alle Schülerinnen und Schüler eines Kurses haben beispielsweise eine eigene Handschrift, die natürlich nicht den Inhalt des Tafelbildes, das sie abschreiben, beeinflusst – genauso wenig wie die Handschrift der Lehrkraft, die ein Tafelbild erstellt, das Lernende dann bspw. abfotografieren oder abschreiben. Das gleiche gilt also auch für die Wahl des Stiftes: Eine Schülerin schreibt mit vielleicht mit einem weichen Bleichstift, weshalb dickere Striche entstehen, ein Schüler nutzt vielleicht einen roten Filzstift</w:t>
      </w:r>
      <w:r>
        <w:t>.</w:t>
      </w:r>
      <w:r w:rsidRPr="00B36A22">
        <w:t xml:space="preserve"> Für den Inhalt des Tafelbildes ist es aber (zunächst) ganz egal, ob die Buchstaben aus dickeren Strichen bestehen oder rot sind. </w:t>
      </w:r>
    </w:p>
    <w:p w14:paraId="1431F93F" w14:textId="77777777" w:rsidR="00BE4509" w:rsidRDefault="00BE4509" w:rsidP="00BE4509">
      <w:pPr>
        <w:pStyle w:val="ekvaufzhlung"/>
      </w:pPr>
      <w:r>
        <w:rPr>
          <w:rStyle w:val="ekvnummerierung"/>
        </w:rPr>
        <w:tab/>
      </w:r>
      <w:r w:rsidRPr="00B36A22">
        <w:t xml:space="preserve">Mit welchem Hintergrund </w:t>
      </w:r>
      <w:r>
        <w:t xml:space="preserve">oder welchen Absichten </w:t>
      </w:r>
      <w:r w:rsidRPr="00B36A22">
        <w:t xml:space="preserve">aber setzen </w:t>
      </w:r>
      <w:proofErr w:type="spellStart"/>
      <w:r w:rsidRPr="00B36A22">
        <w:t>SuS</w:t>
      </w:r>
      <w:proofErr w:type="spellEnd"/>
      <w:r w:rsidRPr="00B36A22">
        <w:t xml:space="preserve"> Farben, Unterstreichungen oder andere Hervorhebungen ein, wenn sie Tafelbilder übernehmen?</w:t>
      </w:r>
    </w:p>
    <w:p w14:paraId="5C33A0B4" w14:textId="77777777" w:rsidR="00BE4509" w:rsidRDefault="00BE4509" w:rsidP="00BE4509"/>
    <w:p w14:paraId="43A909C8" w14:textId="77777777" w:rsidR="00BE4509" w:rsidRDefault="00BE4509" w:rsidP="00BE4509">
      <w:pPr>
        <w:pStyle w:val="ekvaufzhlung"/>
      </w:pPr>
      <w:r w:rsidRPr="00DA2F47">
        <w:rPr>
          <w:rStyle w:val="ekvnummerierung"/>
        </w:rPr>
        <w:t>3</w:t>
      </w:r>
      <w:r>
        <w:tab/>
        <w:t xml:space="preserve">Hier ist zu beachten, dass nicht nach der Bedeutung oder Aussage der Zeichen an sich gefragt wird (die sich tatsächlich nicht verändert), sondern nach dem Aussagegehalt der Sätze. </w:t>
      </w:r>
    </w:p>
    <w:p w14:paraId="46E9292E" w14:textId="77777777" w:rsidR="00BE4509" w:rsidRDefault="00BE4509" w:rsidP="00BE4509">
      <w:pPr>
        <w:pStyle w:val="ekvaufzhlung1"/>
      </w:pPr>
      <w:r>
        <w:t>a)</w:t>
      </w:r>
      <w:r>
        <w:tab/>
        <w:t>In diesem Satz bleibt der Aussageinhalt erhalten. Die Schreibweise, der Kursivdruck von „</w:t>
      </w:r>
      <w:proofErr w:type="spellStart"/>
      <w:r>
        <w:t>slim</w:t>
      </w:r>
      <w:proofErr w:type="spellEnd"/>
      <w:r>
        <w:t xml:space="preserve">“, ist aber ein Interpretationshinweis im Sinne von „auf dieses Wort kommt es bei der Deutung des Satzes in besonderer Weise an“ bzw. kann das Kursive die Schlankheit noch betonen. </w:t>
      </w:r>
    </w:p>
    <w:p w14:paraId="79DD9649" w14:textId="77777777" w:rsidR="00BE4509" w:rsidRDefault="00BE4509" w:rsidP="00BE4509">
      <w:pPr>
        <w:pStyle w:val="ekvaufzhlung1"/>
      </w:pPr>
      <w:r>
        <w:t>b)</w:t>
      </w:r>
      <w:r>
        <w:tab/>
        <w:t>Auch in diesem Satz visualisiert die Schreibweise den Bedeutungsinhalt, setzt aber einen anderen Akzent: Die Schrift enthält zwar keine abweichende Information, ist aber informationsredundant zum Zeicheninhalt von „dick“ und betont diesen Umstand besonders.</w:t>
      </w:r>
    </w:p>
    <w:p w14:paraId="44DB60C9" w14:textId="77777777" w:rsidR="00BE4509" w:rsidRDefault="00BE4509" w:rsidP="00BE4509">
      <w:pPr>
        <w:pStyle w:val="ekvaufzhlung1"/>
      </w:pPr>
      <w:r>
        <w:t>c)</w:t>
      </w:r>
      <w:r>
        <w:tab/>
        <w:t xml:space="preserve">Die breitere, größere und fette Schreibweise des Zeichens „bisschen“ kann als </w:t>
      </w:r>
      <w:proofErr w:type="spellStart"/>
      <w:r>
        <w:t>Ironiesignal</w:t>
      </w:r>
      <w:proofErr w:type="spellEnd"/>
      <w:r>
        <w:t xml:space="preserve"> verstanden werden, das heißt, dass der Ausdruck „bisschen dick“ im Sinne von „ziemlich dick“ zu verstehen ist, was wiederum die Deutung von „</w:t>
      </w:r>
      <w:proofErr w:type="spellStart"/>
      <w:r>
        <w:t>slim</w:t>
      </w:r>
      <w:proofErr w:type="spellEnd"/>
      <w:r>
        <w:t xml:space="preserve">“ beeinflusst (ein bisschen dick wäre dann eben nicht /nicht schlimm/, sondern definitiv /nicht schlank/). Analog könnte auch die Schreibweise im Satz 3 b) als Ironie verstanden werden, obschon das </w:t>
      </w:r>
      <w:proofErr w:type="spellStart"/>
      <w:r>
        <w:t>Ironiesignal</w:t>
      </w:r>
      <w:proofErr w:type="spellEnd"/>
      <w:r>
        <w:t xml:space="preserve"> dort längst nicht so ausgeprägt ist.</w:t>
      </w:r>
    </w:p>
    <w:p w14:paraId="2F1CD903" w14:textId="77777777" w:rsidR="00BE4509" w:rsidRDefault="00BE4509" w:rsidP="00BE4509"/>
    <w:p w14:paraId="00BE0157" w14:textId="77777777" w:rsidR="00BE4509" w:rsidRDefault="00BE4509" w:rsidP="00BE4509">
      <w:pPr>
        <w:pStyle w:val="ekvaufzhlung"/>
      </w:pPr>
      <w:r w:rsidRPr="00063D43">
        <w:rPr>
          <w:rStyle w:val="ekvnummerierung"/>
        </w:rPr>
        <w:t>4</w:t>
      </w:r>
      <w:r>
        <w:tab/>
      </w:r>
      <w:r w:rsidRPr="00B36A22">
        <w:t xml:space="preserve">Insbesondere in der Werbung wird man hier rasch fündig. Wichtig ist vor allem, dass eine Sensibilität für dieses Mitteilungsmittel entwickelt wird. Text-Bild-Botschaften (z.B. </w:t>
      </w:r>
      <w:proofErr w:type="spellStart"/>
      <w:r w:rsidRPr="00B36A22">
        <w:t>Memes</w:t>
      </w:r>
      <w:proofErr w:type="spellEnd"/>
      <w:r w:rsidRPr="00B36A22">
        <w:t>) gibt es ungezählte, weshalb man sich auch auf reine Bildkommunikation beschränken könnte. Text-Bild-Botschaften sind gleichwohl sehr interessant mit Blick auf die Frage, wie sich beide Zeichensysteme (Text und Bild) – wie in Aufgabe 3 gezeigt – ergänzen, und können so beispielhaft besprochen werden.</w:t>
      </w:r>
    </w:p>
    <w:p w14:paraId="14461164" w14:textId="77777777" w:rsidR="00BE4509" w:rsidRDefault="00BE4509" w:rsidP="00BE4509"/>
    <w:p w14:paraId="5F15F84D" w14:textId="77777777" w:rsidR="00BE4509" w:rsidRDefault="00BE4509" w:rsidP="00BE4509">
      <w:r w:rsidRPr="00063D43">
        <w:rPr>
          <w:rStyle w:val="ekvnummerierung"/>
        </w:rPr>
        <w:t>5</w:t>
      </w:r>
      <w:r>
        <w:tab/>
      </w:r>
      <w:r w:rsidRPr="00B36A22">
        <w:t>Der Aussageinhalt wird ironisiert bzw. relativiert, je nach Kommunikationskontext oder Nutzerhintergrund.</w:t>
      </w:r>
    </w:p>
    <w:p w14:paraId="7904CD45" w14:textId="4D2C590F" w:rsidR="00063D43" w:rsidRDefault="00063D43" w:rsidP="00B36A22"/>
    <w:p w14:paraId="49294904" w14:textId="77777777" w:rsidR="00B36A22" w:rsidRDefault="00B36A22">
      <w:pPr>
        <w:tabs>
          <w:tab w:val="clear" w:pos="340"/>
          <w:tab w:val="clear" w:pos="595"/>
          <w:tab w:val="clear" w:pos="851"/>
        </w:tabs>
        <w:spacing w:after="160" w:line="259" w:lineRule="auto"/>
        <w:rPr>
          <w:rStyle w:val="ekvnummerierung"/>
        </w:rPr>
      </w:pPr>
      <w:r>
        <w:rPr>
          <w:rStyle w:val="ekvnummerierung"/>
        </w:rPr>
        <w:br w:type="page"/>
      </w:r>
    </w:p>
    <w:p w14:paraId="2A6471E0" w14:textId="77777777" w:rsidR="00BE4509" w:rsidRDefault="00BE4509" w:rsidP="00BE4509">
      <w:pPr>
        <w:pStyle w:val="ekvaufzhlung"/>
      </w:pPr>
      <w:r w:rsidRPr="00063D43">
        <w:rPr>
          <w:rStyle w:val="ekvnummerierung"/>
        </w:rPr>
        <w:lastRenderedPageBreak/>
        <w:t>6</w:t>
      </w:r>
      <w:r>
        <w:tab/>
      </w:r>
      <w:r w:rsidRPr="00B36A22">
        <w:t xml:space="preserve">Anders als bei den Sätzen zu A3 stellt das </w:t>
      </w:r>
      <w:proofErr w:type="spellStart"/>
      <w:r w:rsidRPr="00B36A22">
        <w:t>Emotikon</w:t>
      </w:r>
      <w:proofErr w:type="spellEnd"/>
      <w:r w:rsidRPr="00B36A22">
        <w:t xml:space="preserve"> ein zusätzliches Zeichen dar – und im Übrigen hier auch ein ersetzendes, da der Punkt als reguläres Satzzeichen entfällt. Je nach Veröffentlichungskontext in Messangerdiensten oder Briefen bzw. offiziellen Mails (konzeptionell mündlich oder schriftlich – das ist jedoch ein anderes Thema) wird mit Satzzeichen zudem anders umgegangen.</w:t>
      </w:r>
    </w:p>
    <w:p w14:paraId="6A716F5F" w14:textId="77777777" w:rsidR="00BE4509" w:rsidRDefault="00BE4509" w:rsidP="00BE4509"/>
    <w:p w14:paraId="1CCA76EA" w14:textId="77777777" w:rsidR="00BE4509" w:rsidRDefault="00BE4509" w:rsidP="00BE4509">
      <w:pPr>
        <w:pStyle w:val="ekvaufzhlung"/>
      </w:pPr>
      <w:r w:rsidRPr="00063D43">
        <w:rPr>
          <w:rStyle w:val="ekvnummerierung"/>
        </w:rPr>
        <w:t>7</w:t>
      </w:r>
      <w:r>
        <w:tab/>
      </w:r>
      <w:r w:rsidRPr="00B36A22">
        <w:t xml:space="preserve">Es handelt sich jeweils um nichtsprachliche Bedeutungsträger zumindest ähnlichen Inhalts, die überdies, siehe A6, einen Punkt ersetzen. Während jedoch das </w:t>
      </w:r>
      <w:proofErr w:type="spellStart"/>
      <w:r w:rsidRPr="00B36A22">
        <w:t>Emotikon</w:t>
      </w:r>
      <w:proofErr w:type="spellEnd"/>
      <w:r w:rsidRPr="00B36A22">
        <w:t xml:space="preserve"> aus konventionellen Zeichen besteht, die umgedeutet werden (also deren äußerer Form ihr eigentlicher Inhalt nicht mehr anzusehen ist, da sich die einzelnen Zeichen im Verständnis der Rezipienten zum Bild (zu einem lächelnden Gesicht) zusammensetzen), ist das Emoji tatsächlich ein Bild-Zeichen.</w:t>
      </w:r>
    </w:p>
    <w:p w14:paraId="1E40BBF6" w14:textId="77777777" w:rsidR="00BE4509" w:rsidRDefault="00BE4509" w:rsidP="00BE4509"/>
    <w:p w14:paraId="347794C0" w14:textId="77777777" w:rsidR="00BE4509" w:rsidRDefault="00BE4509" w:rsidP="00BE4509">
      <w:pPr>
        <w:pStyle w:val="ekvaufzhlung"/>
      </w:pPr>
      <w:r w:rsidRPr="00063D43">
        <w:rPr>
          <w:rStyle w:val="ekvnummerierung"/>
        </w:rPr>
        <w:t>8</w:t>
      </w:r>
      <w:r>
        <w:tab/>
      </w:r>
      <w:r w:rsidRPr="00B36A22">
        <w:t>Hier sollen die Schülerinnen und Schüler nicht nur ihren Sprachgebrauch reflektieren, sondern ihre Aufmerksamkeit soll auf die grundsätzliche Möglichkeit der (reinen/alleinigen) Bildkommunikation gelenkt werden.</w:t>
      </w:r>
    </w:p>
    <w:p w14:paraId="6A924F0E" w14:textId="77777777" w:rsidR="00BE4509" w:rsidRDefault="00BE4509" w:rsidP="00BE4509"/>
    <w:p w14:paraId="09EFCCF7" w14:textId="77777777" w:rsidR="00BE4509" w:rsidRDefault="00BE4509" w:rsidP="00BE4509">
      <w:pPr>
        <w:pStyle w:val="ekvaufzhlung"/>
      </w:pPr>
      <w:r w:rsidRPr="00063D43">
        <w:rPr>
          <w:rStyle w:val="ekvnummerierung"/>
        </w:rPr>
        <w:t>9</w:t>
      </w:r>
      <w:r>
        <w:tab/>
      </w:r>
    </w:p>
    <w:p w14:paraId="4F96E364" w14:textId="77777777" w:rsidR="00BE4509" w:rsidRDefault="00BE4509" w:rsidP="00BE4509">
      <w:pPr>
        <w:pStyle w:val="ekvaufzhlung1"/>
      </w:pPr>
      <w:r>
        <w:t>a)</w:t>
      </w:r>
      <w:r>
        <w:tab/>
        <w:t>Die gesammelten reinen Bildbotschaften können zunächst zum Anlass genommen werden, den Begriff „Erkennungscode“ (Umberto Eco, Einführung in die Semiotik: grundlegenden Merkmale eines Bildzeichens wie bspw. die Streifen bei einem Zebra im Unterschied zum Pferd) einzuführen und danach zu fragen, wodurch die Aussageinhalt eines Bildes eigentlich entsteht bzw. wie er sich zusammensetzt.</w:t>
      </w:r>
    </w:p>
    <w:p w14:paraId="6A9E4DFD" w14:textId="77777777" w:rsidR="00BE4509" w:rsidRDefault="00BE4509" w:rsidP="00BE4509">
      <w:pPr>
        <w:pStyle w:val="ekvaufzhlung1"/>
      </w:pPr>
      <w:r>
        <w:t>b)</w:t>
      </w:r>
      <w:r>
        <w:tab/>
        <w:t>Hier könnten Erkennungscodes auf einer deutlich abstrakteren Ebene gedeutet und gezeigt werden, dass bildliche Kommunikation nicht allein an Gegenständliches gebunden ist.</w:t>
      </w:r>
    </w:p>
    <w:p w14:paraId="5622DADF" w14:textId="77777777" w:rsidR="00BE4509" w:rsidRDefault="00BE4509" w:rsidP="00BE4509">
      <w:pPr>
        <w:pStyle w:val="ekvaufzhlung1"/>
      </w:pPr>
      <w:r>
        <w:t>c)</w:t>
      </w:r>
      <w:r>
        <w:tab/>
        <w:t xml:space="preserve">Auch andere Begriffe wie </w:t>
      </w:r>
      <w:r w:rsidRPr="00475EDD">
        <w:rPr>
          <w:i/>
          <w:iCs/>
        </w:rPr>
        <w:t>Freundschaft</w:t>
      </w:r>
      <w:r>
        <w:t xml:space="preserve"> (im Unterschied </w:t>
      </w:r>
      <w:proofErr w:type="gramStart"/>
      <w:r>
        <w:t xml:space="preserve">zu </w:t>
      </w:r>
      <w:r w:rsidRPr="00475EDD">
        <w:rPr>
          <w:i/>
          <w:iCs/>
        </w:rPr>
        <w:t>Liebe</w:t>
      </w:r>
      <w:proofErr w:type="gramEnd"/>
      <w:r>
        <w:t xml:space="preserve">), </w:t>
      </w:r>
      <w:r w:rsidRPr="00475EDD">
        <w:rPr>
          <w:i/>
          <w:iCs/>
        </w:rPr>
        <w:t>Gemeinschaft</w:t>
      </w:r>
      <w:r>
        <w:t xml:space="preserve"> oder </w:t>
      </w:r>
      <w:r w:rsidRPr="00475EDD">
        <w:rPr>
          <w:i/>
          <w:iCs/>
        </w:rPr>
        <w:t>Feminismus</w:t>
      </w:r>
      <w:r>
        <w:t xml:space="preserve"> bieten sich je nach Kurs an, um die </w:t>
      </w:r>
      <w:proofErr w:type="spellStart"/>
      <w:r>
        <w:t>SuS</w:t>
      </w:r>
      <w:proofErr w:type="spellEnd"/>
      <w:r>
        <w:t xml:space="preserve"> zu aktivieren, ihre gewonnenen Erkenntnisse umzusetzen. Dabei sollte darauf geachtet werden, ob und wie mit Stereotypen, Symbolen oder Metaphern … gearbeitet wird (also Konventionen, wie sie sich bspw. bei </w:t>
      </w:r>
      <w:r w:rsidRPr="00CF0B25">
        <w:rPr>
          <w:i/>
          <w:iCs/>
        </w:rPr>
        <w:t>Liebe</w:t>
      </w:r>
      <w:r>
        <w:t xml:space="preserve"> bereits durchgesetzt haben: die Farbe Rot, Herz, Rosen …) oder ob neue, schlagende Einfälle dabei sind. Auch ist es wichtig zu sehen, ob die Erkennungscodes bereits weitere positiv oder negativ besetzte Aussagen mittragen bzw. welche Rolle auch (mangelnde) Voreinstellungen der Rezipienten bei diesen Deutungen spielen.</w:t>
      </w:r>
    </w:p>
    <w:p w14:paraId="12336F70" w14:textId="77777777" w:rsidR="00BE4509" w:rsidRDefault="00BE4509" w:rsidP="00BE4509"/>
    <w:p w14:paraId="5A46C7AB" w14:textId="77777777" w:rsidR="00BE4509" w:rsidRDefault="00BE4509" w:rsidP="00BE4509"/>
    <w:p w14:paraId="6866DCDC" w14:textId="77777777" w:rsidR="00BE4509" w:rsidRDefault="00BE4509" w:rsidP="00BE4509">
      <w:r>
        <w:t xml:space="preserve">Erkennungscodes triggern die im Vorspann des Blog-Beitrags genannten Rezeptionsweisen wie Geschwindigkeit und Treffsicherheit der Tipp- und Wischbewegungen im Umgang mit </w:t>
      </w:r>
      <w:proofErr w:type="spellStart"/>
      <w:r>
        <w:t>Social</w:t>
      </w:r>
      <w:proofErr w:type="spellEnd"/>
      <w:r>
        <w:t xml:space="preserve">-media-Inhalten. </w:t>
      </w:r>
    </w:p>
    <w:p w14:paraId="4D33D9C9" w14:textId="77777777" w:rsidR="00BE4509" w:rsidRDefault="00BE4509" w:rsidP="00BE4509">
      <w:r>
        <w:t>Abschließend ließe sich auch diskutieren, inwiefern sich Inhaltsschärfe, Differenziertheit und Informationsgehalt in den aufgerufenen Text-, Text-Bild- bzw. in der reinen Bildkommunikation bewerten ließen bzw. wo jeweils Missverständnisse oder Manipulationsmöglichkeiten aufscheinen.</w:t>
      </w:r>
    </w:p>
    <w:p w14:paraId="282AFD29" w14:textId="1B83CD37" w:rsidR="00B36A22" w:rsidRDefault="00B36A22" w:rsidP="00BE4509">
      <w:pPr>
        <w:pStyle w:val="ekvaufzhlung"/>
      </w:pPr>
    </w:p>
    <w:sectPr w:rsidR="00B36A22"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7A04B" w14:textId="77777777" w:rsidR="009169B1" w:rsidRDefault="009169B1" w:rsidP="003C599D">
      <w:pPr>
        <w:spacing w:line="240" w:lineRule="auto"/>
      </w:pPr>
      <w:r>
        <w:separator/>
      </w:r>
    </w:p>
  </w:endnote>
  <w:endnote w:type="continuationSeparator" w:id="0">
    <w:p w14:paraId="09235F3F" w14:textId="77777777" w:rsidR="009169B1" w:rsidRDefault="009169B1"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3531BE6" w14:textId="77777777" w:rsidTr="00503EE6">
      <w:trPr>
        <w:trHeight w:hRule="exact" w:val="680"/>
      </w:trPr>
      <w:tc>
        <w:tcPr>
          <w:tcW w:w="864" w:type="dxa"/>
          <w:noWrap/>
        </w:tcPr>
        <w:p w14:paraId="3CE0E09E" w14:textId="77777777" w:rsidR="002659C5" w:rsidRPr="00913892" w:rsidRDefault="002659C5" w:rsidP="005E4C30">
          <w:pPr>
            <w:pStyle w:val="ekvpaginabild"/>
            <w:jc w:val="both"/>
          </w:pPr>
          <w:r w:rsidRPr="00913892">
            <w:rPr>
              <w:noProof/>
              <w:lang w:eastAsia="de-DE"/>
            </w:rPr>
            <w:drawing>
              <wp:inline distT="0" distB="0" distL="0" distR="0" wp14:anchorId="388AF089" wp14:editId="453A8D7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A15DD93" w14:textId="6C39AD95" w:rsidR="002659C5" w:rsidRPr="00913892" w:rsidRDefault="002659C5" w:rsidP="00503EE6">
          <w:pPr>
            <w:pStyle w:val="ekvpagina"/>
          </w:pPr>
          <w:r w:rsidRPr="00913892">
            <w:t xml:space="preserve">© Ernst Klett Verlag GmbH, </w:t>
          </w:r>
          <w:r w:rsidR="00CF40E8">
            <w:t>Stuttgart 20</w:t>
          </w:r>
          <w:r w:rsidR="009169B1">
            <w:t>26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3E21184" w14:textId="46273DB5" w:rsidR="000E200F" w:rsidRDefault="000E200F" w:rsidP="000E200F">
          <w:pPr>
            <w:pStyle w:val="ekvquelle"/>
          </w:pPr>
          <w:r w:rsidRPr="000E200F">
            <w:rPr>
              <w:rStyle w:val="ekvquellefett"/>
            </w:rPr>
            <w:t>A</w:t>
          </w:r>
          <w:r w:rsidR="009169B1">
            <w:rPr>
              <w:rStyle w:val="ekvquellefett"/>
            </w:rPr>
            <w:t>utor</w:t>
          </w:r>
          <w:r w:rsidRPr="000E200F">
            <w:rPr>
              <w:rStyle w:val="ekvquellefett"/>
            </w:rPr>
            <w:t>:</w:t>
          </w:r>
          <w:r>
            <w:t xml:space="preserve"> </w:t>
          </w:r>
          <w:r w:rsidR="009169B1">
            <w:t>Dr. Stefan Schäfer</w:t>
          </w:r>
        </w:p>
        <w:p w14:paraId="22C6C8E0" w14:textId="6A772CEE" w:rsidR="002659C5" w:rsidRPr="00913892" w:rsidRDefault="002659C5" w:rsidP="000E200F">
          <w:pPr>
            <w:pStyle w:val="ekvquelle"/>
          </w:pPr>
        </w:p>
      </w:tc>
      <w:tc>
        <w:tcPr>
          <w:tcW w:w="813" w:type="dxa"/>
        </w:tcPr>
        <w:p w14:paraId="3F14FDA3" w14:textId="11352293" w:rsidR="002659C5" w:rsidRPr="00913892" w:rsidRDefault="00B36A22" w:rsidP="00913892">
          <w:pPr>
            <w:pStyle w:val="ekvpagina"/>
          </w:pPr>
          <w:r>
            <w:t xml:space="preserve">Seite </w:t>
          </w:r>
          <w:r>
            <w:fldChar w:fldCharType="begin"/>
          </w:r>
          <w:r>
            <w:instrText xml:space="preserve"> PAGE   \* MERGEFORMAT </w:instrText>
          </w:r>
          <w:r>
            <w:fldChar w:fldCharType="separate"/>
          </w:r>
          <w:r>
            <w:t>1</w:t>
          </w:r>
          <w:r>
            <w:fldChar w:fldCharType="end"/>
          </w:r>
          <w:r>
            <w:t>/</w:t>
          </w:r>
          <w:fldSimple w:instr=" NUMPAGES   \* MERGEFORMAT ">
            <w:r>
              <w:t>2</w:t>
            </w:r>
          </w:fldSimple>
        </w:p>
      </w:tc>
    </w:tr>
  </w:tbl>
  <w:p w14:paraId="46621D8C"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6BBE0" w14:textId="77777777" w:rsidR="009169B1" w:rsidRDefault="009169B1" w:rsidP="003C599D">
      <w:pPr>
        <w:spacing w:line="240" w:lineRule="auto"/>
      </w:pPr>
      <w:r>
        <w:separator/>
      </w:r>
    </w:p>
  </w:footnote>
  <w:footnote w:type="continuationSeparator" w:id="0">
    <w:p w14:paraId="4CA8D13A" w14:textId="77777777" w:rsidR="009169B1" w:rsidRDefault="009169B1"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3593757" w14:textId="77777777" w:rsidTr="00431E62">
      <w:trPr>
        <w:trHeight w:hRule="exact" w:val="510"/>
      </w:trPr>
      <w:tc>
        <w:tcPr>
          <w:tcW w:w="818" w:type="dxa"/>
          <w:tcBorders>
            <w:top w:val="nil"/>
            <w:bottom w:val="nil"/>
            <w:right w:val="nil"/>
          </w:tcBorders>
          <w:noWrap/>
          <w:vAlign w:val="bottom"/>
        </w:tcPr>
        <w:p w14:paraId="6815990E" w14:textId="77777777" w:rsidR="00901B13" w:rsidRPr="00AE65F6" w:rsidRDefault="00901B13" w:rsidP="00901B13"/>
      </w:tc>
      <w:tc>
        <w:tcPr>
          <w:tcW w:w="3856" w:type="dxa"/>
          <w:tcBorders>
            <w:top w:val="nil"/>
            <w:left w:val="nil"/>
            <w:bottom w:val="nil"/>
            <w:right w:val="nil"/>
          </w:tcBorders>
          <w:noWrap/>
          <w:vAlign w:val="bottom"/>
        </w:tcPr>
        <w:p w14:paraId="1F9DA97F"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E7C26D4"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BEA8DF8"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0556624" w14:textId="77777777" w:rsidR="00901B13" w:rsidRPr="007C1230" w:rsidRDefault="00901B13" w:rsidP="00901B13">
          <w:pPr>
            <w:pStyle w:val="ekvkvnummer"/>
          </w:pPr>
        </w:p>
      </w:tc>
      <w:tc>
        <w:tcPr>
          <w:tcW w:w="883" w:type="dxa"/>
          <w:tcBorders>
            <w:top w:val="nil"/>
            <w:left w:val="nil"/>
            <w:bottom w:val="nil"/>
          </w:tcBorders>
          <w:noWrap/>
          <w:vAlign w:val="bottom"/>
        </w:tcPr>
        <w:p w14:paraId="173C6772" w14:textId="77777777" w:rsidR="00901B13" w:rsidRPr="007636A0" w:rsidRDefault="00901B13" w:rsidP="00901B13">
          <w:pPr>
            <w:pStyle w:val="ekvkapitel"/>
            <w:rPr>
              <w:color w:val="FFFFFF" w:themeColor="background1"/>
            </w:rPr>
          </w:pPr>
        </w:p>
      </w:tc>
    </w:tr>
    <w:tr w:rsidR="00901B13" w:rsidRPr="00BF17F2" w14:paraId="2417C862"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0ACBD8E"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4DF0A5DC" w14:textId="77777777" w:rsidR="00901B13" w:rsidRPr="00BF17F2" w:rsidRDefault="00901B13" w:rsidP="00901B13">
          <w:pPr>
            <w:rPr>
              <w:color w:val="FFFFFF" w:themeColor="background1"/>
            </w:rPr>
          </w:pPr>
        </w:p>
      </w:tc>
    </w:tr>
  </w:tbl>
  <w:p w14:paraId="3F6F1AD0"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9B1"/>
    <w:rsid w:val="000040E2"/>
    <w:rsid w:val="00007D11"/>
    <w:rsid w:val="0001210D"/>
    <w:rsid w:val="00014D7E"/>
    <w:rsid w:val="0002009E"/>
    <w:rsid w:val="00020440"/>
    <w:rsid w:val="000307B4"/>
    <w:rsid w:val="00030EDB"/>
    <w:rsid w:val="000317DC"/>
    <w:rsid w:val="00035074"/>
    <w:rsid w:val="00035147"/>
    <w:rsid w:val="00037566"/>
    <w:rsid w:val="00043523"/>
    <w:rsid w:val="000520A2"/>
    <w:rsid w:val="000523D4"/>
    <w:rsid w:val="00053B2F"/>
    <w:rsid w:val="00054678"/>
    <w:rsid w:val="00054A93"/>
    <w:rsid w:val="0006258C"/>
    <w:rsid w:val="00062D31"/>
    <w:rsid w:val="00063D43"/>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3E06"/>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67E"/>
    <w:rsid w:val="0026581E"/>
    <w:rsid w:val="002659C5"/>
    <w:rsid w:val="00274F6B"/>
    <w:rsid w:val="00275884"/>
    <w:rsid w:val="00280525"/>
    <w:rsid w:val="00280A12"/>
    <w:rsid w:val="0028107C"/>
    <w:rsid w:val="0028231D"/>
    <w:rsid w:val="00284F97"/>
    <w:rsid w:val="00287B24"/>
    <w:rsid w:val="00287DC0"/>
    <w:rsid w:val="00291485"/>
    <w:rsid w:val="00291D9D"/>
    <w:rsid w:val="00292470"/>
    <w:rsid w:val="0029673A"/>
    <w:rsid w:val="002A25AE"/>
    <w:rsid w:val="002B3DF1"/>
    <w:rsid w:val="002B52EB"/>
    <w:rsid w:val="002B64EA"/>
    <w:rsid w:val="002C5D15"/>
    <w:rsid w:val="002D41F4"/>
    <w:rsid w:val="002D7B0C"/>
    <w:rsid w:val="002D7B42"/>
    <w:rsid w:val="002E163A"/>
    <w:rsid w:val="002E21C3"/>
    <w:rsid w:val="002E7CCA"/>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B6313"/>
    <w:rsid w:val="003C113F"/>
    <w:rsid w:val="003C39DC"/>
    <w:rsid w:val="003C599D"/>
    <w:rsid w:val="003D3722"/>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33B3E"/>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3580"/>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265D2"/>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69B1"/>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1D61"/>
    <w:rsid w:val="00976E17"/>
    <w:rsid w:val="00977556"/>
    <w:rsid w:val="009800AB"/>
    <w:rsid w:val="00981DFC"/>
    <w:rsid w:val="009820E7"/>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7C2"/>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72E6"/>
    <w:rsid w:val="00A62578"/>
    <w:rsid w:val="00A701AF"/>
    <w:rsid w:val="00A7137C"/>
    <w:rsid w:val="00A75504"/>
    <w:rsid w:val="00A8296D"/>
    <w:rsid w:val="00A83EBE"/>
    <w:rsid w:val="00A8594A"/>
    <w:rsid w:val="00A86417"/>
    <w:rsid w:val="00A8687B"/>
    <w:rsid w:val="00A92B79"/>
    <w:rsid w:val="00A9695B"/>
    <w:rsid w:val="00AA3E8B"/>
    <w:rsid w:val="00AA5A5A"/>
    <w:rsid w:val="00AA64A1"/>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6A22"/>
    <w:rsid w:val="00B37E68"/>
    <w:rsid w:val="00B468CC"/>
    <w:rsid w:val="00B52FB3"/>
    <w:rsid w:val="00B5429C"/>
    <w:rsid w:val="00B54655"/>
    <w:rsid w:val="00B6045F"/>
    <w:rsid w:val="00B6058C"/>
    <w:rsid w:val="00B60BEA"/>
    <w:rsid w:val="00B632F0"/>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509"/>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E425E"/>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43CD3"/>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2F47"/>
    <w:rsid w:val="00DA6329"/>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25935"/>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3649"/>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96C22"/>
  <w15:chartTrackingRefBased/>
  <w15:docId w15:val="{8AD15D67-1FE7-488F-B0CF-4EFB6BBD3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B632F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unhideWhenUse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9169B1"/>
    <w:rPr>
      <w:color w:val="0563C1" w:themeColor="hyperlink"/>
      <w:u w:val="single"/>
    </w:rPr>
  </w:style>
  <w:style w:type="character" w:styleId="NichtaufgelsteErwhnung">
    <w:name w:val="Unresolved Mention"/>
    <w:basedOn w:val="Absatz-Standardschriftart"/>
    <w:uiPriority w:val="99"/>
    <w:semiHidden/>
    <w:unhideWhenUsed/>
    <w:rsid w:val="00916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e281\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862</Words>
  <Characters>5437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16</cp:revision>
  <cp:lastPrinted>2016-12-23T16:36:00Z</cp:lastPrinted>
  <dcterms:created xsi:type="dcterms:W3CDTF">2026-05-07T11:35:00Z</dcterms:created>
  <dcterms:modified xsi:type="dcterms:W3CDTF">2026-05-08T11:34:00Z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1.04</vt:lpwstr>
  </property>
</Properties>
</file>