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85ED" w14:textId="3D66AD3D" w:rsidR="006849E6" w:rsidRDefault="00876D68" w:rsidP="006849E6">
      <w:pPr>
        <w:pStyle w:val="ekvue3arial"/>
      </w:pPr>
      <w:r>
        <w:t>Kopiervorlage</w:t>
      </w:r>
      <w:r w:rsidR="006849E6">
        <w:t xml:space="preserve"> zum deutsch-klett.de Blogartikel „</w:t>
      </w:r>
      <w:r w:rsidR="006849E6" w:rsidRPr="006849E6">
        <w:t>Kommasetzung im Satzgefüge: Das Verb als entscheidender Spielball</w:t>
      </w:r>
      <w:r w:rsidR="006849E6">
        <w:t>“</w:t>
      </w:r>
    </w:p>
    <w:p w14:paraId="5DF9CE2E" w14:textId="77777777" w:rsidR="006849E6" w:rsidRDefault="006849E6" w:rsidP="006849E6"/>
    <w:p w14:paraId="063267E3" w14:textId="38958A7A" w:rsidR="003B6313" w:rsidRDefault="006849E6" w:rsidP="006849E6">
      <w:pPr>
        <w:pStyle w:val="ekvue1arial"/>
      </w:pPr>
      <w:r w:rsidRPr="006849E6">
        <w:t>Zeichensetzung im Satzgefüge</w:t>
      </w:r>
    </w:p>
    <w:p w14:paraId="705D20E7" w14:textId="77777777" w:rsidR="006849E6" w:rsidRDefault="006849E6" w:rsidP="006849E6"/>
    <w:p w14:paraId="7C582405" w14:textId="77777777" w:rsidR="006849E6" w:rsidRDefault="006849E6" w:rsidP="006849E6"/>
    <w:p w14:paraId="687C45AD" w14:textId="77777777" w:rsidR="006849E6" w:rsidRDefault="006849E6" w:rsidP="006849E6">
      <w:pPr>
        <w:pStyle w:val="ekvue3fremdtext"/>
        <w:spacing w:line="340" w:lineRule="exact"/>
      </w:pPr>
      <w:r>
        <w:t xml:space="preserve">Rätsel, Pizza und Schattentheater – </w:t>
      </w:r>
      <w:proofErr w:type="gramStart"/>
      <w:r>
        <w:t>Nachts</w:t>
      </w:r>
      <w:proofErr w:type="gramEnd"/>
      <w:r>
        <w:t xml:space="preserve"> in der Schule</w:t>
      </w:r>
    </w:p>
    <w:p w14:paraId="0289FC8F" w14:textId="133B020D" w:rsidR="006849E6" w:rsidRPr="006849E6" w:rsidRDefault="006849E6" w:rsidP="006849E6">
      <w:pPr>
        <w:pStyle w:val="ekvgrundtexttimes"/>
        <w:spacing w:line="340" w:lineRule="exact"/>
      </w:pPr>
      <w:r w:rsidRPr="006849E6">
        <w:t xml:space="preserve">Vor den Ferien machten wir einen Leseabend damit unsere Freude am Lesen wieder aufflammt. Wir haben uns alle sehr auf diesen Abend gefreut da er bereits um 17:00 Uhr anfing. Marlene und ich waren aber schon früher </w:t>
      </w:r>
      <w:proofErr w:type="gramStart"/>
      <w:r w:rsidRPr="006849E6">
        <w:t>da</w:t>
      </w:r>
      <w:proofErr w:type="gramEnd"/>
      <w:r w:rsidRPr="006849E6">
        <w:t xml:space="preserve"> weil wir ein Spiel vorbereitet hatten: den „</w:t>
      </w:r>
      <w:proofErr w:type="spellStart"/>
      <w:r w:rsidRPr="006849E6">
        <w:t>Leselauf</w:t>
      </w:r>
      <w:proofErr w:type="spellEnd"/>
      <w:r w:rsidRPr="006849E6">
        <w:t>“. Nach dem Spiel gab es dann auch schon Pizza und da jeder seine eigene Pizza hatte gab es auch keinen Futterneid.</w:t>
      </w:r>
    </w:p>
    <w:p w14:paraId="02AAA3FD" w14:textId="3F93BA34" w:rsidR="006849E6" w:rsidRPr="006849E6" w:rsidRDefault="006849E6" w:rsidP="006849E6">
      <w:pPr>
        <w:pStyle w:val="ekvgrundtexttimes"/>
        <w:spacing w:line="340" w:lineRule="exact"/>
      </w:pPr>
      <w:r w:rsidRPr="006849E6">
        <w:t xml:space="preserve">Anschließend haben wir den Raum verdunkelt da die 5a ein spannendes Schattentheater auf Englisch präsentierte! Danach hatte unsere Lehrerin ein weiteres Spiel vorbereitet: den „Break-out-Room“. Jede Gruppe erhielt ein Märchen und musste durch das Lösen verschiedener Rätsel an das Ende der Geschichte gelangen. Dabei war echte Teamarbeit </w:t>
      </w:r>
      <w:proofErr w:type="gramStart"/>
      <w:r w:rsidRPr="006849E6">
        <w:t>gefragt</w:t>
      </w:r>
      <w:proofErr w:type="gramEnd"/>
      <w:r w:rsidRPr="006849E6">
        <w:t xml:space="preserve"> denn nur mit viel Geduld und gemeinsamem Nachdenken kamen wir der Lösung auf die Spur. Jede Gruppe war in einem anderen Raum untergebracht. Das Licht war zwar angeschaltet und die Türen waren nicht versperrt dennoch sahen manche Gruppen ab und zu den Vorhang wehen oder „weiße Augen“ am Fenster. Es war also ein Leseabend mit Gruselfaktor. Es machte viel Spaß!</w:t>
      </w:r>
    </w:p>
    <w:p w14:paraId="642318F1" w14:textId="44D0A447" w:rsidR="006849E6" w:rsidRPr="006849E6" w:rsidRDefault="006849E6" w:rsidP="006849E6">
      <w:pPr>
        <w:pStyle w:val="ekvgrundtexttimes"/>
        <w:spacing w:line="340" w:lineRule="exact"/>
      </w:pPr>
      <w:r w:rsidRPr="006849E6">
        <w:t xml:space="preserve">Da manche Gruppen schon früher fertig waren bekamen sie noch ein Zusatzrätsel. Nachdem man die drei Emojis auf dem Blatt betrachtet </w:t>
      </w:r>
      <w:proofErr w:type="gramStart"/>
      <w:r w:rsidRPr="006849E6">
        <w:t>hatte</w:t>
      </w:r>
      <w:proofErr w:type="gramEnd"/>
      <w:r w:rsidRPr="006849E6">
        <w:t xml:space="preserve"> musste man den passenden Buchtitel finden. Nachdem alle fertig waren haben wir noch zusammen Verstecken im Schulhaus gespielt. Viel zu früh haben uns dann unsere Eltern abgeholt.</w:t>
      </w:r>
    </w:p>
    <w:p w14:paraId="0A09AD7F" w14:textId="77777777" w:rsidR="006849E6" w:rsidRDefault="006849E6" w:rsidP="006849E6"/>
    <w:p w14:paraId="0349CD70" w14:textId="77777777" w:rsidR="006849E6" w:rsidRDefault="006849E6" w:rsidP="006849E6"/>
    <w:p w14:paraId="696C46B0" w14:textId="35489A5E" w:rsidR="006849E6" w:rsidRDefault="006849E6" w:rsidP="006849E6">
      <w:pPr>
        <w:pStyle w:val="ekvaufzhlung"/>
      </w:pPr>
      <w:r w:rsidRPr="006849E6">
        <w:rPr>
          <w:rStyle w:val="ekvnummerierung"/>
        </w:rPr>
        <w:t>1</w:t>
      </w:r>
      <w:r>
        <w:tab/>
        <w:t xml:space="preserve">Suche alle finiten und infiniten Verben im Bericht „Rätsel, Pizza und Schattentheater“ heraus. Markiere die finiten Verben blau und die infiniten Verben grün. </w:t>
      </w:r>
    </w:p>
    <w:p w14:paraId="47E82EF5" w14:textId="77777777" w:rsidR="006849E6" w:rsidRDefault="006849E6" w:rsidP="006849E6"/>
    <w:p w14:paraId="79E0B0C4" w14:textId="65E5A06E" w:rsidR="006849E6" w:rsidRDefault="006849E6" w:rsidP="00C97F17">
      <w:pPr>
        <w:tabs>
          <w:tab w:val="clear" w:pos="595"/>
          <w:tab w:val="left" w:pos="680"/>
        </w:tabs>
      </w:pPr>
      <w:r w:rsidRPr="006849E6">
        <w:rPr>
          <w:rStyle w:val="ekvnummerierung"/>
        </w:rPr>
        <w:t>2</w:t>
      </w:r>
      <w:r>
        <w:tab/>
        <w:t>a)</w:t>
      </w:r>
      <w:r>
        <w:tab/>
        <w:t xml:space="preserve">Unterstreiche alle Hauptsätze mit einer geraden Linie und alle Nebensätze mit einer welligen Linie. </w:t>
      </w:r>
    </w:p>
    <w:p w14:paraId="3BEA3F72" w14:textId="110EADF8" w:rsidR="006849E6" w:rsidRDefault="006849E6" w:rsidP="00C97F17">
      <w:pPr>
        <w:pStyle w:val="ekvaufzhlung1"/>
        <w:tabs>
          <w:tab w:val="clear" w:pos="794"/>
          <w:tab w:val="left" w:pos="709"/>
        </w:tabs>
      </w:pPr>
      <w:r>
        <w:t>b)</w:t>
      </w:r>
      <w:r>
        <w:tab/>
        <w:t xml:space="preserve">Markiere alle Einleitewörter mit einer weiteren Farbe. Wenn du dir unsicher bist, trage den Satz in die Tabelle zum </w:t>
      </w:r>
      <w:proofErr w:type="spellStart"/>
      <w:r>
        <w:t>Feldermodell</w:t>
      </w:r>
      <w:proofErr w:type="spellEnd"/>
      <w:r>
        <w:t xml:space="preserve"> ein. </w:t>
      </w:r>
    </w:p>
    <w:p w14:paraId="2490D627" w14:textId="3D56CC09" w:rsidR="006849E6" w:rsidRDefault="006849E6" w:rsidP="006849E6">
      <w:pPr>
        <w:pStyle w:val="ekvaufzhlung1"/>
      </w:pPr>
      <w:r>
        <w:rPr>
          <w:b/>
          <w:bCs/>
        </w:rPr>
        <w:tab/>
      </w:r>
      <w:r w:rsidRPr="006849E6">
        <w:rPr>
          <w:b/>
          <w:bCs/>
        </w:rPr>
        <w:t>Tipp</w:t>
      </w:r>
      <w:r w:rsidRPr="006849E6">
        <w:rPr>
          <w:rStyle w:val="ekvfett"/>
        </w:rPr>
        <w:t>:</w:t>
      </w:r>
      <w:r>
        <w:t xml:space="preserve"> Denke daran, dass im Nebensatz das Einleitewort (die Subjunktion) in der linken Satzklammer steht und das finite Verb ganz nach hinten in die rechte Satzklammer rutscht. </w:t>
      </w:r>
    </w:p>
    <w:p w14:paraId="0090213A" w14:textId="53FBBFD9" w:rsidR="006849E6" w:rsidRDefault="006849E6" w:rsidP="006849E6"/>
    <w:tbl>
      <w:tblPr>
        <w:tblW w:w="9071" w:type="dxa"/>
        <w:tblLayout w:type="fixed"/>
        <w:tblCellMar>
          <w:left w:w="0" w:type="dxa"/>
          <w:right w:w="0" w:type="dxa"/>
        </w:tblCellMar>
        <w:tblLook w:val="01E0" w:firstRow="1" w:lastRow="1" w:firstColumn="1" w:lastColumn="1" w:noHBand="0" w:noVBand="0"/>
      </w:tblPr>
      <w:tblGrid>
        <w:gridCol w:w="1871"/>
        <w:gridCol w:w="1247"/>
        <w:gridCol w:w="2835"/>
        <w:gridCol w:w="1247"/>
        <w:gridCol w:w="1871"/>
      </w:tblGrid>
      <w:tr w:rsidR="006849E6" w:rsidRPr="006849E6" w14:paraId="738556B9" w14:textId="77777777" w:rsidTr="006849E6">
        <w:trPr>
          <w:trHeight w:val="284"/>
        </w:trPr>
        <w:tc>
          <w:tcPr>
            <w:tcW w:w="1871" w:type="dxa"/>
            <w:tcBorders>
              <w:bottom w:val="single" w:sz="8" w:space="0" w:color="333333"/>
              <w:right w:val="single" w:sz="4" w:space="0" w:color="333333"/>
            </w:tcBorders>
            <w:shd w:val="clear" w:color="auto" w:fill="FFFFFF" w:themeFill="background1"/>
          </w:tcPr>
          <w:p w14:paraId="12C9D8A2" w14:textId="49EADE31" w:rsidR="006849E6" w:rsidRPr="006849E6" w:rsidRDefault="006849E6" w:rsidP="006849E6">
            <w:pPr>
              <w:pStyle w:val="ekvtabellelinks"/>
              <w:rPr>
                <w:rStyle w:val="ekvfett"/>
              </w:rPr>
            </w:pPr>
            <w:r w:rsidRPr="006849E6">
              <w:rPr>
                <w:rStyle w:val="ekvfett"/>
              </w:rPr>
              <w:t>Vorfeld</w:t>
            </w:r>
          </w:p>
        </w:tc>
        <w:tc>
          <w:tcPr>
            <w:tcW w:w="1247" w:type="dxa"/>
            <w:tcBorders>
              <w:left w:val="single" w:sz="4" w:space="0" w:color="333333"/>
              <w:bottom w:val="single" w:sz="8" w:space="0" w:color="333333"/>
            </w:tcBorders>
            <w:shd w:val="clear" w:color="auto" w:fill="FFFFFF" w:themeFill="background1"/>
          </w:tcPr>
          <w:p w14:paraId="64887C11" w14:textId="462CFD13" w:rsidR="006849E6" w:rsidRPr="006849E6" w:rsidRDefault="006849E6" w:rsidP="006849E6">
            <w:pPr>
              <w:pStyle w:val="ekvtabellelinks"/>
              <w:rPr>
                <w:rStyle w:val="ekvfett"/>
              </w:rPr>
            </w:pPr>
            <w:r w:rsidRPr="006849E6">
              <w:rPr>
                <w:rStyle w:val="ekvfett"/>
              </w:rPr>
              <w:t>linke Satzklammer</w:t>
            </w:r>
          </w:p>
        </w:tc>
        <w:tc>
          <w:tcPr>
            <w:tcW w:w="2835" w:type="dxa"/>
            <w:tcBorders>
              <w:left w:val="single" w:sz="4" w:space="0" w:color="333333"/>
              <w:bottom w:val="single" w:sz="8" w:space="0" w:color="333333"/>
              <w:right w:val="single" w:sz="4" w:space="0" w:color="333333"/>
            </w:tcBorders>
            <w:shd w:val="clear" w:color="auto" w:fill="FFFFFF" w:themeFill="background1"/>
          </w:tcPr>
          <w:p w14:paraId="662473A1" w14:textId="483136BC" w:rsidR="006849E6" w:rsidRPr="006849E6" w:rsidRDefault="006849E6" w:rsidP="006849E6">
            <w:pPr>
              <w:pStyle w:val="ekvtabellelinks"/>
              <w:rPr>
                <w:rStyle w:val="ekvfett"/>
              </w:rPr>
            </w:pPr>
            <w:r w:rsidRPr="006849E6">
              <w:rPr>
                <w:rStyle w:val="ekvfett"/>
              </w:rPr>
              <w:t>Mittelfeld</w:t>
            </w:r>
          </w:p>
        </w:tc>
        <w:tc>
          <w:tcPr>
            <w:tcW w:w="1247" w:type="dxa"/>
            <w:tcBorders>
              <w:left w:val="single" w:sz="4" w:space="0" w:color="333333"/>
              <w:bottom w:val="single" w:sz="8" w:space="0" w:color="333333"/>
              <w:right w:val="single" w:sz="4" w:space="0" w:color="333333"/>
            </w:tcBorders>
            <w:shd w:val="clear" w:color="auto" w:fill="FFFFFF" w:themeFill="background1"/>
          </w:tcPr>
          <w:p w14:paraId="1254D317" w14:textId="11F25743" w:rsidR="006849E6" w:rsidRPr="006849E6" w:rsidRDefault="006849E6" w:rsidP="006849E6">
            <w:pPr>
              <w:pStyle w:val="ekvtabellelinks"/>
              <w:rPr>
                <w:rStyle w:val="ekvfett"/>
              </w:rPr>
            </w:pPr>
            <w:r w:rsidRPr="006849E6">
              <w:rPr>
                <w:rStyle w:val="ekvfett"/>
              </w:rPr>
              <w:t>rechte Satzklammer</w:t>
            </w:r>
          </w:p>
        </w:tc>
        <w:tc>
          <w:tcPr>
            <w:tcW w:w="1871" w:type="dxa"/>
            <w:tcBorders>
              <w:left w:val="single" w:sz="4" w:space="0" w:color="333333"/>
              <w:bottom w:val="single" w:sz="8" w:space="0" w:color="333333"/>
            </w:tcBorders>
            <w:shd w:val="clear" w:color="auto" w:fill="FFFFFF" w:themeFill="background1"/>
          </w:tcPr>
          <w:p w14:paraId="630C8CE0" w14:textId="772EBB4C" w:rsidR="006849E6" w:rsidRPr="006849E6" w:rsidRDefault="006849E6" w:rsidP="006849E6">
            <w:pPr>
              <w:pStyle w:val="ekvtabellelinks"/>
              <w:rPr>
                <w:rStyle w:val="ekvfett"/>
              </w:rPr>
            </w:pPr>
            <w:r w:rsidRPr="006849E6">
              <w:rPr>
                <w:rStyle w:val="ekvfett"/>
              </w:rPr>
              <w:t>Nachfeld</w:t>
            </w:r>
          </w:p>
        </w:tc>
      </w:tr>
      <w:tr w:rsidR="006849E6" w:rsidRPr="003C39DC" w14:paraId="047F22E0" w14:textId="77777777" w:rsidTr="006849E6">
        <w:trPr>
          <w:trHeight w:val="284"/>
        </w:trPr>
        <w:tc>
          <w:tcPr>
            <w:tcW w:w="1871" w:type="dxa"/>
            <w:tcBorders>
              <w:top w:val="single" w:sz="8" w:space="0" w:color="333333"/>
              <w:bottom w:val="single" w:sz="4" w:space="0" w:color="333333"/>
              <w:right w:val="single" w:sz="4" w:space="0" w:color="333333"/>
            </w:tcBorders>
          </w:tcPr>
          <w:p w14:paraId="27690AB1" w14:textId="77777777" w:rsidR="006849E6" w:rsidRDefault="006849E6" w:rsidP="006849E6">
            <w:pPr>
              <w:pStyle w:val="ekvtabellelinks"/>
            </w:pPr>
          </w:p>
          <w:p w14:paraId="5D5CDFE1" w14:textId="77777777" w:rsidR="006849E6" w:rsidRPr="003C39DC" w:rsidRDefault="006849E6" w:rsidP="006849E6">
            <w:pPr>
              <w:pStyle w:val="ekvtabellelinks"/>
            </w:pPr>
          </w:p>
        </w:tc>
        <w:tc>
          <w:tcPr>
            <w:tcW w:w="1247" w:type="dxa"/>
            <w:tcBorders>
              <w:top w:val="single" w:sz="8" w:space="0" w:color="333333"/>
              <w:left w:val="single" w:sz="4" w:space="0" w:color="333333"/>
              <w:bottom w:val="single" w:sz="4" w:space="0" w:color="333333"/>
            </w:tcBorders>
          </w:tcPr>
          <w:p w14:paraId="4F05B180" w14:textId="77777777" w:rsidR="006849E6" w:rsidRPr="003C39DC" w:rsidRDefault="006849E6" w:rsidP="006849E6">
            <w:pPr>
              <w:pStyle w:val="ekvtabellelinks"/>
            </w:pPr>
          </w:p>
        </w:tc>
        <w:tc>
          <w:tcPr>
            <w:tcW w:w="2835" w:type="dxa"/>
            <w:tcBorders>
              <w:top w:val="single" w:sz="8" w:space="0" w:color="333333"/>
              <w:left w:val="single" w:sz="4" w:space="0" w:color="333333"/>
              <w:bottom w:val="single" w:sz="4" w:space="0" w:color="333333"/>
              <w:right w:val="single" w:sz="4" w:space="0" w:color="333333"/>
            </w:tcBorders>
          </w:tcPr>
          <w:p w14:paraId="6281C7A0" w14:textId="77777777" w:rsidR="006849E6" w:rsidRPr="003C39DC" w:rsidRDefault="006849E6" w:rsidP="006849E6">
            <w:pPr>
              <w:pStyle w:val="ekvtabellelinks"/>
            </w:pPr>
          </w:p>
        </w:tc>
        <w:tc>
          <w:tcPr>
            <w:tcW w:w="1247" w:type="dxa"/>
            <w:tcBorders>
              <w:top w:val="single" w:sz="8" w:space="0" w:color="333333"/>
              <w:left w:val="single" w:sz="4" w:space="0" w:color="333333"/>
              <w:bottom w:val="single" w:sz="4" w:space="0" w:color="333333"/>
              <w:right w:val="single" w:sz="4" w:space="0" w:color="333333"/>
            </w:tcBorders>
          </w:tcPr>
          <w:p w14:paraId="4A7DCFCC" w14:textId="77777777" w:rsidR="006849E6" w:rsidRPr="003C39DC" w:rsidRDefault="006849E6" w:rsidP="006849E6">
            <w:pPr>
              <w:pStyle w:val="ekvtabellelinks"/>
            </w:pPr>
          </w:p>
        </w:tc>
        <w:tc>
          <w:tcPr>
            <w:tcW w:w="1871" w:type="dxa"/>
            <w:tcBorders>
              <w:top w:val="single" w:sz="8" w:space="0" w:color="333333"/>
              <w:left w:val="single" w:sz="4" w:space="0" w:color="333333"/>
              <w:bottom w:val="single" w:sz="4" w:space="0" w:color="333333"/>
            </w:tcBorders>
          </w:tcPr>
          <w:p w14:paraId="28775185" w14:textId="5B32E4BB" w:rsidR="006849E6" w:rsidRPr="003C39DC" w:rsidRDefault="006849E6" w:rsidP="006849E6">
            <w:pPr>
              <w:pStyle w:val="ekvtabellelinks"/>
            </w:pPr>
          </w:p>
        </w:tc>
      </w:tr>
      <w:tr w:rsidR="00475AB0" w:rsidRPr="003C39DC" w14:paraId="397D7E2F" w14:textId="77777777" w:rsidTr="006849E6">
        <w:trPr>
          <w:trHeight w:val="284"/>
        </w:trPr>
        <w:tc>
          <w:tcPr>
            <w:tcW w:w="1871" w:type="dxa"/>
            <w:tcBorders>
              <w:top w:val="single" w:sz="8" w:space="0" w:color="333333"/>
              <w:bottom w:val="single" w:sz="4" w:space="0" w:color="333333"/>
              <w:right w:val="single" w:sz="4" w:space="0" w:color="333333"/>
            </w:tcBorders>
          </w:tcPr>
          <w:p w14:paraId="31F1F79E" w14:textId="77777777" w:rsidR="00475AB0" w:rsidRDefault="00475AB0" w:rsidP="006849E6">
            <w:pPr>
              <w:pStyle w:val="ekvtabellelinks"/>
            </w:pPr>
          </w:p>
          <w:p w14:paraId="3A0CDFA9" w14:textId="77777777" w:rsidR="00475AB0" w:rsidRDefault="00475AB0" w:rsidP="006849E6">
            <w:pPr>
              <w:pStyle w:val="ekvtabellelinks"/>
            </w:pPr>
          </w:p>
        </w:tc>
        <w:tc>
          <w:tcPr>
            <w:tcW w:w="1247" w:type="dxa"/>
            <w:tcBorders>
              <w:top w:val="single" w:sz="8" w:space="0" w:color="333333"/>
              <w:left w:val="single" w:sz="4" w:space="0" w:color="333333"/>
              <w:bottom w:val="single" w:sz="4" w:space="0" w:color="333333"/>
            </w:tcBorders>
          </w:tcPr>
          <w:p w14:paraId="1AED2D17" w14:textId="77777777" w:rsidR="00475AB0" w:rsidRPr="003C39DC" w:rsidRDefault="00475AB0" w:rsidP="006849E6">
            <w:pPr>
              <w:pStyle w:val="ekvtabellelinks"/>
            </w:pPr>
          </w:p>
        </w:tc>
        <w:tc>
          <w:tcPr>
            <w:tcW w:w="2835" w:type="dxa"/>
            <w:tcBorders>
              <w:top w:val="single" w:sz="8" w:space="0" w:color="333333"/>
              <w:left w:val="single" w:sz="4" w:space="0" w:color="333333"/>
              <w:bottom w:val="single" w:sz="4" w:space="0" w:color="333333"/>
              <w:right w:val="single" w:sz="4" w:space="0" w:color="333333"/>
            </w:tcBorders>
          </w:tcPr>
          <w:p w14:paraId="17E784E7" w14:textId="77777777" w:rsidR="00475AB0" w:rsidRPr="003C39DC" w:rsidRDefault="00475AB0" w:rsidP="006849E6">
            <w:pPr>
              <w:pStyle w:val="ekvtabellelinks"/>
            </w:pPr>
          </w:p>
        </w:tc>
        <w:tc>
          <w:tcPr>
            <w:tcW w:w="1247" w:type="dxa"/>
            <w:tcBorders>
              <w:top w:val="single" w:sz="8" w:space="0" w:color="333333"/>
              <w:left w:val="single" w:sz="4" w:space="0" w:color="333333"/>
              <w:bottom w:val="single" w:sz="4" w:space="0" w:color="333333"/>
              <w:right w:val="single" w:sz="4" w:space="0" w:color="333333"/>
            </w:tcBorders>
          </w:tcPr>
          <w:p w14:paraId="27E25894" w14:textId="77777777" w:rsidR="00475AB0" w:rsidRPr="003C39DC" w:rsidRDefault="00475AB0" w:rsidP="006849E6">
            <w:pPr>
              <w:pStyle w:val="ekvtabellelinks"/>
            </w:pPr>
          </w:p>
        </w:tc>
        <w:tc>
          <w:tcPr>
            <w:tcW w:w="1871" w:type="dxa"/>
            <w:tcBorders>
              <w:top w:val="single" w:sz="8" w:space="0" w:color="333333"/>
              <w:left w:val="single" w:sz="4" w:space="0" w:color="333333"/>
              <w:bottom w:val="single" w:sz="4" w:space="0" w:color="333333"/>
            </w:tcBorders>
          </w:tcPr>
          <w:p w14:paraId="316CE442" w14:textId="77777777" w:rsidR="00475AB0" w:rsidRPr="003C39DC" w:rsidRDefault="00475AB0" w:rsidP="006849E6">
            <w:pPr>
              <w:pStyle w:val="ekvtabellelinks"/>
            </w:pPr>
          </w:p>
        </w:tc>
      </w:tr>
      <w:tr w:rsidR="006849E6" w:rsidRPr="003C39DC" w14:paraId="22448652" w14:textId="77777777" w:rsidTr="006849E6">
        <w:trPr>
          <w:trHeight w:val="284"/>
        </w:trPr>
        <w:tc>
          <w:tcPr>
            <w:tcW w:w="1871" w:type="dxa"/>
            <w:tcBorders>
              <w:top w:val="single" w:sz="4" w:space="0" w:color="333333"/>
              <w:right w:val="single" w:sz="4" w:space="0" w:color="333333"/>
            </w:tcBorders>
          </w:tcPr>
          <w:p w14:paraId="42A0A617" w14:textId="77777777" w:rsidR="006849E6" w:rsidRDefault="006849E6" w:rsidP="006849E6">
            <w:pPr>
              <w:pStyle w:val="ekvtabellelinks"/>
            </w:pPr>
          </w:p>
          <w:p w14:paraId="1C69B0C3" w14:textId="77777777" w:rsidR="006849E6" w:rsidRPr="003C39DC" w:rsidRDefault="006849E6" w:rsidP="006849E6">
            <w:pPr>
              <w:pStyle w:val="ekvtabellelinks"/>
            </w:pPr>
          </w:p>
        </w:tc>
        <w:tc>
          <w:tcPr>
            <w:tcW w:w="1247" w:type="dxa"/>
            <w:tcBorders>
              <w:top w:val="single" w:sz="4" w:space="0" w:color="333333"/>
              <w:left w:val="single" w:sz="4" w:space="0" w:color="333333"/>
            </w:tcBorders>
          </w:tcPr>
          <w:p w14:paraId="1DAEE3F6" w14:textId="77777777" w:rsidR="006849E6" w:rsidRPr="003C39DC" w:rsidRDefault="006849E6" w:rsidP="006849E6">
            <w:pPr>
              <w:pStyle w:val="ekvtabellelinks"/>
            </w:pPr>
          </w:p>
        </w:tc>
        <w:tc>
          <w:tcPr>
            <w:tcW w:w="2835" w:type="dxa"/>
            <w:tcBorders>
              <w:top w:val="single" w:sz="4" w:space="0" w:color="333333"/>
              <w:left w:val="single" w:sz="4" w:space="0" w:color="333333"/>
              <w:right w:val="single" w:sz="4" w:space="0" w:color="333333"/>
            </w:tcBorders>
          </w:tcPr>
          <w:p w14:paraId="149FC2C3" w14:textId="77777777" w:rsidR="006849E6" w:rsidRPr="003C39DC" w:rsidRDefault="006849E6" w:rsidP="006849E6">
            <w:pPr>
              <w:pStyle w:val="ekvtabellelinks"/>
            </w:pPr>
          </w:p>
        </w:tc>
        <w:tc>
          <w:tcPr>
            <w:tcW w:w="1247" w:type="dxa"/>
            <w:tcBorders>
              <w:top w:val="single" w:sz="4" w:space="0" w:color="333333"/>
              <w:left w:val="single" w:sz="4" w:space="0" w:color="333333"/>
              <w:right w:val="single" w:sz="4" w:space="0" w:color="333333"/>
            </w:tcBorders>
          </w:tcPr>
          <w:p w14:paraId="39D89472" w14:textId="77777777" w:rsidR="006849E6" w:rsidRPr="003C39DC" w:rsidRDefault="006849E6" w:rsidP="006849E6">
            <w:pPr>
              <w:pStyle w:val="ekvtabellelinks"/>
            </w:pPr>
          </w:p>
        </w:tc>
        <w:tc>
          <w:tcPr>
            <w:tcW w:w="1871" w:type="dxa"/>
            <w:tcBorders>
              <w:top w:val="single" w:sz="4" w:space="0" w:color="333333"/>
              <w:left w:val="single" w:sz="4" w:space="0" w:color="333333"/>
            </w:tcBorders>
          </w:tcPr>
          <w:p w14:paraId="596C13E8" w14:textId="5799943C" w:rsidR="006849E6" w:rsidRPr="003C39DC" w:rsidRDefault="006849E6" w:rsidP="006849E6">
            <w:pPr>
              <w:pStyle w:val="ekvtabellelinks"/>
            </w:pPr>
          </w:p>
        </w:tc>
      </w:tr>
    </w:tbl>
    <w:p w14:paraId="4236F3D6" w14:textId="77777777" w:rsidR="006849E6" w:rsidRDefault="006849E6" w:rsidP="006849E6"/>
    <w:p w14:paraId="0186286F" w14:textId="77777777" w:rsidR="006849E6" w:rsidRDefault="006849E6" w:rsidP="006849E6">
      <w:pPr>
        <w:pStyle w:val="ekvgrundtexthalbe"/>
      </w:pPr>
    </w:p>
    <w:p w14:paraId="381A81C6" w14:textId="56854013" w:rsidR="006849E6" w:rsidRDefault="006849E6" w:rsidP="006849E6">
      <w:r w:rsidRPr="006849E6">
        <w:rPr>
          <w:rStyle w:val="ekvnummerierung"/>
        </w:rPr>
        <w:t>3</w:t>
      </w:r>
      <w:r>
        <w:tab/>
        <w:t xml:space="preserve">Setze im Bericht „Rätsel, Pizza und Schattentheater“ die fehlenden Kommas. </w:t>
      </w:r>
    </w:p>
    <w:p w14:paraId="425AD841" w14:textId="50F7F0B8" w:rsidR="006849E6" w:rsidRPr="000E200F" w:rsidRDefault="006849E6" w:rsidP="006849E6">
      <w:pPr>
        <w:pStyle w:val="ekvaufzhlung"/>
      </w:pPr>
      <w:r>
        <w:tab/>
      </w:r>
      <w:r w:rsidRPr="006849E6">
        <w:rPr>
          <w:rStyle w:val="ekvfett"/>
        </w:rPr>
        <w:t>Tipp:</w:t>
      </w:r>
      <w:r>
        <w:t xml:space="preserve"> Das Komma steht im Satzgefüge immer als Trennung zwischen dem Hauptsatz und dem Nebensatz. Achte besonders auf die Einleitewörter wie: </w:t>
      </w:r>
      <w:r w:rsidRPr="00C97F17">
        <w:rPr>
          <w:rStyle w:val="ekvkursiv"/>
        </w:rPr>
        <w:t>weil, da, damit, nachdem, denn</w:t>
      </w:r>
      <w:r>
        <w:t xml:space="preserve"> oder </w:t>
      </w:r>
      <w:r w:rsidRPr="00C97F17">
        <w:rPr>
          <w:rStyle w:val="ekvkursiv"/>
        </w:rPr>
        <w:t>ob</w:t>
      </w:r>
      <w:r>
        <w:t>.</w:t>
      </w:r>
    </w:p>
    <w:sectPr w:rsidR="006849E6"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7929" w14:textId="77777777" w:rsidR="006849E6" w:rsidRDefault="006849E6" w:rsidP="003C599D">
      <w:pPr>
        <w:spacing w:line="240" w:lineRule="auto"/>
      </w:pPr>
      <w:r>
        <w:separator/>
      </w:r>
    </w:p>
  </w:endnote>
  <w:endnote w:type="continuationSeparator" w:id="0">
    <w:p w14:paraId="511DC05E" w14:textId="77777777" w:rsidR="006849E6" w:rsidRDefault="006849E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C7B6A1" w14:textId="77777777" w:rsidTr="00503EE6">
      <w:trPr>
        <w:trHeight w:hRule="exact" w:val="680"/>
      </w:trPr>
      <w:tc>
        <w:tcPr>
          <w:tcW w:w="864" w:type="dxa"/>
          <w:noWrap/>
        </w:tcPr>
        <w:p w14:paraId="09B6960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CA6D5AD" w14:textId="0AE5B203" w:rsidR="002659C5" w:rsidRPr="00913892" w:rsidRDefault="002659C5" w:rsidP="00503EE6">
          <w:pPr>
            <w:pStyle w:val="ekvpagina"/>
          </w:pPr>
          <w:r w:rsidRPr="00913892">
            <w:t xml:space="preserve">© Ernst Klett Verlag GmbH, </w:t>
          </w:r>
          <w:r w:rsidR="00CF40E8">
            <w:t>Stuttgart 20</w:t>
          </w:r>
          <w:r w:rsidR="006849E6">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76011BB" w14:textId="68E160B8" w:rsidR="000E200F" w:rsidRDefault="000E200F" w:rsidP="000E200F">
          <w:pPr>
            <w:pStyle w:val="ekvquelle"/>
          </w:pPr>
          <w:r w:rsidRPr="000E200F">
            <w:rPr>
              <w:rStyle w:val="ekvquellefett"/>
            </w:rPr>
            <w:t>A</w:t>
          </w:r>
          <w:r w:rsidR="006849E6">
            <w:rPr>
              <w:rStyle w:val="ekvquellefett"/>
            </w:rPr>
            <w:t>utorin:</w:t>
          </w:r>
          <w:r>
            <w:t xml:space="preserve"> </w:t>
          </w:r>
          <w:r w:rsidR="006849E6" w:rsidRPr="006849E6">
            <w:t>Susann Heilani</w:t>
          </w:r>
        </w:p>
        <w:p w14:paraId="6B952280" w14:textId="3F8E3F91" w:rsidR="002659C5" w:rsidRPr="00913892" w:rsidRDefault="002659C5" w:rsidP="000E200F">
          <w:pPr>
            <w:pStyle w:val="ekvquelle"/>
          </w:pPr>
        </w:p>
      </w:tc>
      <w:tc>
        <w:tcPr>
          <w:tcW w:w="813" w:type="dxa"/>
        </w:tcPr>
        <w:p w14:paraId="53597419" w14:textId="77777777" w:rsidR="002659C5" w:rsidRPr="00913892" w:rsidRDefault="002659C5" w:rsidP="00913892">
          <w:pPr>
            <w:pStyle w:val="ekvpagina"/>
          </w:pPr>
        </w:p>
      </w:tc>
    </w:tr>
  </w:tbl>
  <w:p w14:paraId="6DB6064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5DEA" w14:textId="77777777" w:rsidR="006849E6" w:rsidRDefault="006849E6" w:rsidP="003C599D">
      <w:pPr>
        <w:spacing w:line="240" w:lineRule="auto"/>
      </w:pPr>
      <w:r>
        <w:separator/>
      </w:r>
    </w:p>
  </w:footnote>
  <w:footnote w:type="continuationSeparator" w:id="0">
    <w:p w14:paraId="6C5311DD" w14:textId="77777777" w:rsidR="006849E6" w:rsidRDefault="006849E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E3F44EB" w14:textId="77777777" w:rsidTr="00431E62">
      <w:trPr>
        <w:trHeight w:hRule="exact" w:val="510"/>
      </w:trPr>
      <w:tc>
        <w:tcPr>
          <w:tcW w:w="818" w:type="dxa"/>
          <w:tcBorders>
            <w:top w:val="nil"/>
            <w:bottom w:val="nil"/>
            <w:right w:val="nil"/>
          </w:tcBorders>
          <w:noWrap/>
          <w:vAlign w:val="bottom"/>
        </w:tcPr>
        <w:p w14:paraId="5DF287A7" w14:textId="77777777" w:rsidR="00901B13" w:rsidRPr="00AE65F6" w:rsidRDefault="00901B13" w:rsidP="00901B13"/>
      </w:tc>
      <w:tc>
        <w:tcPr>
          <w:tcW w:w="3856" w:type="dxa"/>
          <w:tcBorders>
            <w:top w:val="nil"/>
            <w:left w:val="nil"/>
            <w:bottom w:val="nil"/>
            <w:right w:val="nil"/>
          </w:tcBorders>
          <w:noWrap/>
          <w:vAlign w:val="bottom"/>
        </w:tcPr>
        <w:p w14:paraId="3C4B04A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4FF807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8EF6B3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13F0A946" w14:textId="77777777" w:rsidR="00901B13" w:rsidRPr="007C1230" w:rsidRDefault="00901B13" w:rsidP="00901B13">
          <w:pPr>
            <w:pStyle w:val="ekvkvnummer"/>
          </w:pPr>
        </w:p>
      </w:tc>
      <w:tc>
        <w:tcPr>
          <w:tcW w:w="883" w:type="dxa"/>
          <w:tcBorders>
            <w:top w:val="nil"/>
            <w:left w:val="nil"/>
            <w:bottom w:val="nil"/>
          </w:tcBorders>
          <w:noWrap/>
          <w:vAlign w:val="bottom"/>
        </w:tcPr>
        <w:p w14:paraId="129A8DD1" w14:textId="77777777" w:rsidR="00901B13" w:rsidRPr="007636A0" w:rsidRDefault="00901B13" w:rsidP="00901B13">
          <w:pPr>
            <w:pStyle w:val="ekvkapitel"/>
            <w:rPr>
              <w:color w:val="FFFFFF" w:themeColor="background1"/>
            </w:rPr>
          </w:pPr>
        </w:p>
      </w:tc>
    </w:tr>
    <w:tr w:rsidR="00901B13" w:rsidRPr="00BF17F2" w14:paraId="27FE2D4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C43DBD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255933D" w14:textId="77777777" w:rsidR="00901B13" w:rsidRPr="00BF17F2" w:rsidRDefault="00901B13" w:rsidP="00901B13">
          <w:pPr>
            <w:rPr>
              <w:color w:val="FFFFFF" w:themeColor="background1"/>
            </w:rPr>
          </w:pPr>
        </w:p>
      </w:tc>
    </w:tr>
  </w:tbl>
  <w:p w14:paraId="5D1AE2E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680"/>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E6"/>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75AB0"/>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49E6"/>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76D68"/>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72E6"/>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97F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6811C"/>
  <w15:chartTrackingRefBased/>
  <w15:docId w15:val="{B3D6492D-AF51-4263-8C51-69EA2C20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2201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2026-05-08T07:38:00Z</dcterms:created>
  <dcterms:modified xsi:type="dcterms:W3CDTF">2026-05-08T07:54:00Z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