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0D4942" w:rsidRPr="00C172AE" w14:paraId="1036932B" w14:textId="77777777" w:rsidTr="00B35D1C">
        <w:trPr>
          <w:trHeight w:hRule="exact" w:val="510"/>
        </w:trPr>
        <w:tc>
          <w:tcPr>
            <w:tcW w:w="819" w:type="dxa"/>
            <w:tcBorders>
              <w:top w:val="nil"/>
              <w:bottom w:val="nil"/>
              <w:right w:val="nil"/>
            </w:tcBorders>
            <w:noWrap/>
            <w:vAlign w:val="bottom"/>
          </w:tcPr>
          <w:p w14:paraId="2BFFF5DA" w14:textId="77777777" w:rsidR="000D4942" w:rsidRPr="00AE65F6" w:rsidRDefault="000D4942" w:rsidP="00B336B9">
            <w:pPr>
              <w:pageBreakBefore/>
              <w:rPr>
                <w:color w:val="FFFFFF" w:themeColor="background1"/>
              </w:rPr>
            </w:pPr>
          </w:p>
        </w:tc>
        <w:tc>
          <w:tcPr>
            <w:tcW w:w="3854" w:type="dxa"/>
            <w:tcBorders>
              <w:top w:val="nil"/>
              <w:left w:val="nil"/>
              <w:bottom w:val="nil"/>
              <w:right w:val="nil"/>
            </w:tcBorders>
            <w:noWrap/>
            <w:vAlign w:val="bottom"/>
          </w:tcPr>
          <w:p w14:paraId="15878091" w14:textId="77777777" w:rsidR="000D4942" w:rsidRPr="007C1230" w:rsidRDefault="000D4942" w:rsidP="00B336B9">
            <w:pPr>
              <w:pStyle w:val="ekvkolumnentitel"/>
            </w:pPr>
            <w:r w:rsidRPr="007C1230">
              <w:t>Name:</w:t>
            </w:r>
          </w:p>
        </w:tc>
        <w:tc>
          <w:tcPr>
            <w:tcW w:w="1320" w:type="dxa"/>
            <w:tcBorders>
              <w:top w:val="nil"/>
              <w:left w:val="nil"/>
              <w:bottom w:val="nil"/>
              <w:right w:val="nil"/>
            </w:tcBorders>
            <w:noWrap/>
            <w:vAlign w:val="bottom"/>
          </w:tcPr>
          <w:p w14:paraId="0A5C0263" w14:textId="77777777" w:rsidR="000D4942" w:rsidRPr="007C1230" w:rsidRDefault="000D4942" w:rsidP="00B336B9">
            <w:pPr>
              <w:pStyle w:val="ekvkolumnentitel"/>
            </w:pPr>
            <w:r w:rsidRPr="007C1230">
              <w:t>Klasse:</w:t>
            </w:r>
          </w:p>
        </w:tc>
        <w:tc>
          <w:tcPr>
            <w:tcW w:w="2040" w:type="dxa"/>
            <w:tcBorders>
              <w:top w:val="nil"/>
              <w:left w:val="nil"/>
              <w:bottom w:val="nil"/>
              <w:right w:val="nil"/>
            </w:tcBorders>
            <w:noWrap/>
            <w:vAlign w:val="bottom"/>
          </w:tcPr>
          <w:p w14:paraId="06D43CED" w14:textId="77777777" w:rsidR="000D4942" w:rsidRPr="007C1230" w:rsidRDefault="000D4942" w:rsidP="00B336B9">
            <w:pPr>
              <w:pStyle w:val="ekvkolumnentitel"/>
            </w:pPr>
            <w:r w:rsidRPr="007C1230">
              <w:t>Datum:</w:t>
            </w:r>
          </w:p>
        </w:tc>
        <w:tc>
          <w:tcPr>
            <w:tcW w:w="1301" w:type="dxa"/>
            <w:tcBorders>
              <w:top w:val="nil"/>
              <w:left w:val="nil"/>
              <w:bottom w:val="nil"/>
              <w:right w:val="nil"/>
            </w:tcBorders>
            <w:noWrap/>
            <w:vAlign w:val="bottom"/>
          </w:tcPr>
          <w:p w14:paraId="173202FA" w14:textId="71A14D6D" w:rsidR="000D4942" w:rsidRPr="007C1230" w:rsidRDefault="000D4942" w:rsidP="00B336B9">
            <w:pPr>
              <w:pStyle w:val="ekvkolumnentitel"/>
            </w:pPr>
            <w:r>
              <w:t>Seite 1 von 2</w:t>
            </w:r>
          </w:p>
        </w:tc>
        <w:tc>
          <w:tcPr>
            <w:tcW w:w="1666" w:type="dxa"/>
            <w:tcBorders>
              <w:top w:val="nil"/>
              <w:left w:val="nil"/>
              <w:bottom w:val="single" w:sz="8" w:space="0" w:color="808080"/>
            </w:tcBorders>
            <w:noWrap/>
            <w:vAlign w:val="bottom"/>
          </w:tcPr>
          <w:p w14:paraId="74A8F11B" w14:textId="77777777" w:rsidR="000D4942" w:rsidRPr="007636A0" w:rsidRDefault="000D4942" w:rsidP="00B336B9">
            <w:r>
              <w:t>Arbeits-</w:t>
            </w:r>
            <w:r>
              <w:br/>
              <w:t>blatt</w:t>
            </w:r>
          </w:p>
        </w:tc>
      </w:tr>
      <w:tr w:rsidR="000D4942" w:rsidRPr="00BF17F2" w14:paraId="3CA220A5"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18B8A3ED" w14:textId="77777777" w:rsidR="000D4942" w:rsidRPr="00BF17F2" w:rsidRDefault="000D4942" w:rsidP="00B336B9">
            <w:pPr>
              <w:rPr>
                <w:color w:val="FFFFFF" w:themeColor="background1"/>
              </w:rPr>
            </w:pPr>
          </w:p>
        </w:tc>
        <w:tc>
          <w:tcPr>
            <w:tcW w:w="8515" w:type="dxa"/>
            <w:gridSpan w:val="4"/>
            <w:tcBorders>
              <w:left w:val="nil"/>
              <w:bottom w:val="nil"/>
              <w:right w:val="nil"/>
            </w:tcBorders>
            <w:noWrap/>
            <w:vAlign w:val="bottom"/>
          </w:tcPr>
          <w:p w14:paraId="7E7583A0" w14:textId="77777777" w:rsidR="000D4942" w:rsidRPr="00BF17F2" w:rsidRDefault="000D4942" w:rsidP="00B336B9">
            <w:pPr>
              <w:rPr>
                <w:color w:val="FFFFFF" w:themeColor="background1"/>
              </w:rPr>
            </w:pPr>
          </w:p>
        </w:tc>
        <w:tc>
          <w:tcPr>
            <w:tcW w:w="1666" w:type="dxa"/>
            <w:tcBorders>
              <w:top w:val="nil"/>
              <w:left w:val="nil"/>
              <w:bottom w:val="nil"/>
            </w:tcBorders>
          </w:tcPr>
          <w:p w14:paraId="7D478ABB" w14:textId="77777777" w:rsidR="000D4942" w:rsidRPr="00B35D1C" w:rsidRDefault="000D4942" w:rsidP="00B336B9">
            <w:r>
              <w:rPr>
                <w:noProof/>
              </w:rPr>
              <w:drawing>
                <wp:anchor distT="0" distB="0" distL="114300" distR="114300" simplePos="0" relativeHeight="251659264" behindDoc="1" locked="0" layoutInCell="1" allowOverlap="1" wp14:anchorId="32CB2565" wp14:editId="36666A29">
                  <wp:simplePos x="0" y="0"/>
                  <wp:positionH relativeFrom="column">
                    <wp:posOffset>-74884</wp:posOffset>
                  </wp:positionH>
                  <wp:positionV relativeFrom="paragraph">
                    <wp:posOffset>-614180</wp:posOffset>
                  </wp:positionV>
                  <wp:extent cx="791845" cy="791845"/>
                  <wp:effectExtent l="0" t="0" r="8255" b="8255"/>
                  <wp:wrapNone/>
                  <wp:docPr id="90" name="Grafik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Pr="00B35D1C">
              <w:t>Lösung</w:t>
            </w:r>
          </w:p>
        </w:tc>
      </w:tr>
    </w:tbl>
    <w:p w14:paraId="7EAC59DC" w14:textId="25B6060B" w:rsidR="00EF190C" w:rsidRDefault="000D4942" w:rsidP="000D4942">
      <w:pPr>
        <w:pStyle w:val="ekvue1arial"/>
      </w:pPr>
      <w:r w:rsidRPr="000D4942">
        <w:t>Beispiel Gendern – Sprachgebrauch bewusst wahrnehmen: Lösungshinweise</w:t>
      </w:r>
    </w:p>
    <w:p w14:paraId="53129974" w14:textId="0B95DF98" w:rsidR="000D4942" w:rsidRDefault="000D4942" w:rsidP="000D4942"/>
    <w:p w14:paraId="5BA3ACE6" w14:textId="77777777" w:rsidR="000D4942" w:rsidRDefault="000D4942" w:rsidP="000D4942">
      <w:r>
        <w:t>Das Arbeitsblatt eignet sich gut als Einstieg in eine vertiefende Beschäftigung mit dem Gendern und den damit verbundenen Grammatikthemen. Einige Weiterarbeitsvorschläge sind angeführt.</w:t>
      </w:r>
    </w:p>
    <w:p w14:paraId="312CDBDB" w14:textId="77777777" w:rsidR="000D4942" w:rsidRDefault="000D4942" w:rsidP="000D4942"/>
    <w:p w14:paraId="60163712" w14:textId="5A3A48F3" w:rsidR="000D4942" w:rsidRDefault="000D4942" w:rsidP="000D4942">
      <w:pPr>
        <w:pStyle w:val="ekvaufzhlung"/>
      </w:pPr>
      <w:r w:rsidRPr="000D4942">
        <w:rPr>
          <w:rStyle w:val="ekvnummerierung"/>
        </w:rPr>
        <w:t>1</w:t>
      </w:r>
      <w:r>
        <w:tab/>
        <w:t>Die Übersicht verdeutlicht, dass die Gattungsbezeichnung bei einigen Haustierarten im Deutschen generisch neutral ist, womit natürlich nichts über das Geschlecht der Einzeltiere ausgesagt wird (Pferde, Schafe oder Schweine sind ja nicht geschlechtslos). Dass die männlichen Tiere (kurioserweise sogar dann, wenn sie kastriert sind) grammatisch maskulin und die weiblichen Tiere grammatisch feminin sind, belegt den engen Zusammenhang der Kategorien Sexus und Genus.</w:t>
      </w:r>
      <w:r>
        <w:br/>
        <w:t>Die Aufgabe bereitet zugleich Aufgabe 2 vor.</w:t>
      </w:r>
    </w:p>
    <w:p w14:paraId="4F4B9DB5" w14:textId="77777777" w:rsidR="000D4942" w:rsidRDefault="000D4942" w:rsidP="000D4942"/>
    <w:p w14:paraId="1F6AB874" w14:textId="3202BA74" w:rsidR="000D4942" w:rsidRDefault="000D4942" w:rsidP="000D4942">
      <w:pPr>
        <w:pStyle w:val="ekvaufzhlung"/>
      </w:pPr>
      <w:r w:rsidRPr="000D4942">
        <w:rPr>
          <w:rStyle w:val="ekvnummerierung"/>
        </w:rPr>
        <w:t>2</w:t>
      </w:r>
      <w:r>
        <w:tab/>
        <w:t>Der Vorschlag hätte das Argument der Sprachökonomie auf seiner Seite. Gendern ist außerhalb von Personenbezeichnungen tatsächlich vergleichsweise aufwändig, was in einer so kompositafreudigen Sprache wie dem Deutschen zusätzlich hinderlich ist. Schon das einfache „Partnerarbeit“ wird im konkreten Fall zu einer echten Herausforderung: „Partnerarbeit“, wenn zwei Männer zusammenarbeiten; „Partnerinnenarbeit“, wenn zwei Frauen zusammenarbeiten; „Partner- und Partnerinarbeit“, wenn eine Frau mit einem Mann zusammenarbeitet. Im Englischen stellt sich das Problem durch den Einheitsartikel „the“ meist gar nicht („the cousin“ etwa ist solange unspezifiziert, bis man weiß, ob es sich einen „he“ oder um eine „she“ handelt; und bei den Pronomen tut man sich auch im Deutschen leichter). Gegen das Neutrum als unmarkierte Form spricht allerdings, dass es im Deutschen nun einmal drei Artikel gibt, das „das“ also nicht dieselbe Selbstverständlichkeit besitzt wie das englische „the“.</w:t>
      </w:r>
      <w:r>
        <w:br/>
        <w:t>Zu den Pronomen ließe sich dann vertiefend recherchieren: Aus Gendersicht problematisch ist vor allem das Fragepronomen „Wer“ sowie das Indefinitpronomen „man“ (das überdies etymologisch in „jemand“ und „niemand“ verankert ist).</w:t>
      </w:r>
    </w:p>
    <w:p w14:paraId="15733B7E" w14:textId="77777777" w:rsidR="00B0384E" w:rsidRDefault="00B0384E" w:rsidP="00B0384E">
      <w:pPr>
        <w:pStyle w:val="ekvaufzhlung"/>
        <w:ind w:left="0" w:firstLine="0"/>
      </w:pPr>
    </w:p>
    <w:p w14:paraId="213475A8" w14:textId="7492758C" w:rsidR="00B0384E" w:rsidRPr="00B0384E" w:rsidRDefault="00B0384E" w:rsidP="00B0384E">
      <w:pPr>
        <w:pStyle w:val="ekvaufzhlung"/>
        <w:ind w:left="0" w:firstLine="0"/>
        <w:rPr>
          <w:rStyle w:val="ekvnummerierung"/>
        </w:rPr>
      </w:pPr>
      <w:r w:rsidRPr="00B0384E">
        <w:rPr>
          <w:rStyle w:val="ekvnummerierung"/>
        </w:rPr>
        <w:t>3/</w:t>
      </w:r>
    </w:p>
    <w:p w14:paraId="29AB67ED" w14:textId="07CF2C81" w:rsidR="000D4942" w:rsidRDefault="00B0384E" w:rsidP="00B0384E">
      <w:pPr>
        <w:pStyle w:val="ekvaufzhlung"/>
      </w:pPr>
      <w:r w:rsidRPr="00B0384E">
        <w:rPr>
          <w:rStyle w:val="ekvnummerierung"/>
        </w:rPr>
        <w:t>4</w:t>
      </w:r>
      <w:r>
        <w:tab/>
      </w:r>
      <w:r w:rsidR="000D4942">
        <w:t xml:space="preserve">Satz a) ist tendenziell problematisch, weil „Rotkäppchen“ generisch neutral ist (es also eigentlich „Rotkäppchen wurde zu seiner Großmutter geschickt“ heißen müsste). Dass eine Mehrheit den Satz gleichwohl als grammatisch akzeptabel empfinden dürfte, zeigt nicht nur, dass das natürliche Geschlecht grammatisch unabhängig (oder genauer: nicht nur in Abhängigkeit von der Grammatik) wahrgenommen wird, sondern auch, dass die Pronomen nicht zwangsläufig auf das grammatische Geschlecht verweisen müssen. Die Sätze b), d) und g) verweisen darauf, dass Ableitungen auf „-in“ nicht immer möglich sind, wobei „Gästinnen“ bzw. „Gästin“ noch die besten Chancen haben, sich rasch durchzusetzen. Ungrammatisch ist Satz c), da „Mitglied“ Neutrum ist (d.h. die Pluralform „Mitglied-er“ wurde fälschlicherweise als männliche Ableitung interpretiert und dann auf „-in“ abgeleitet; erklären ließe sich eine solche Form aus Hyperkorrektheit). Satz e) ist aus normativer Sicht nach wie vor korrekt, allerdings wirkt er schon leicht altertümlich. Da Dima eine Frau ist, würden wohl die </w:t>
      </w:r>
      <w:r w:rsidR="00502DC6">
        <w:t xml:space="preserve">meisten </w:t>
      </w:r>
      <w:r w:rsidR="000D4942">
        <w:t>Menschen dazu tendieren, sie als „Physiotherapeutin“ zu bezeichnen; anders liegt der Fall, wenn Dima als Physiotherapeutin an einer Physiotherapeutenweiterbildung teilnimmt (Letzteres wiederum liegt im Mündlichen wohl auch daran, dass die Ableitungen auf „-en“ und „-in“ schwachtonig sind, d. h. der Unterschied überhaupt nur bei standardsprachlich korrekter Artikulation überhaupt zu hören ist). Satz f) ist grammatisch natürlich akzeptabel und nur insofern auffällig, als die Neigung besteht, für Einzelpersonen (als Gattungs- oder Typbezeichnung, also „Der Studierende an sich“) wieder das Maskulinum zu verwenden (man hätte also gleich „der Student“ sagen können).</w:t>
      </w:r>
      <w:r w:rsidR="000D4942">
        <w:br/>
        <w:t>Anschließen ließen sich eine eingehendere Beschäftigung mit Wortbildungsmustern und dem Partizip I als Genusmarker.</w:t>
      </w:r>
    </w:p>
    <w:p w14:paraId="1BA30A0D" w14:textId="77777777" w:rsidR="000D4942" w:rsidRDefault="000D4942">
      <w:pPr>
        <w:tabs>
          <w:tab w:val="clear" w:pos="340"/>
          <w:tab w:val="clear" w:pos="595"/>
          <w:tab w:val="clear" w:pos="851"/>
        </w:tabs>
        <w:spacing w:after="160" w:line="259" w:lineRule="auto"/>
      </w:pPr>
    </w:p>
    <w:p w14:paraId="2FBEBEBF" w14:textId="68979E5B" w:rsidR="000D4942" w:rsidRDefault="000D4942">
      <w:pPr>
        <w:tabs>
          <w:tab w:val="clear" w:pos="340"/>
          <w:tab w:val="clear" w:pos="595"/>
          <w:tab w:val="clear" w:pos="851"/>
        </w:tabs>
        <w:spacing w:after="160" w:line="259" w:lineRule="auto"/>
      </w:pPr>
      <w:r>
        <w:br w:type="page"/>
      </w:r>
    </w:p>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0D4942" w:rsidRPr="00C172AE" w14:paraId="0F26E3F0" w14:textId="77777777" w:rsidTr="00B35D1C">
        <w:trPr>
          <w:trHeight w:hRule="exact" w:val="510"/>
        </w:trPr>
        <w:tc>
          <w:tcPr>
            <w:tcW w:w="819" w:type="dxa"/>
            <w:tcBorders>
              <w:top w:val="nil"/>
              <w:bottom w:val="nil"/>
              <w:right w:val="nil"/>
            </w:tcBorders>
            <w:noWrap/>
            <w:vAlign w:val="bottom"/>
          </w:tcPr>
          <w:p w14:paraId="71840EDD" w14:textId="77777777" w:rsidR="000D4942" w:rsidRPr="00AE65F6" w:rsidRDefault="000D4942" w:rsidP="00B336B9">
            <w:pPr>
              <w:pageBreakBefore/>
              <w:rPr>
                <w:color w:val="FFFFFF" w:themeColor="background1"/>
              </w:rPr>
            </w:pPr>
          </w:p>
        </w:tc>
        <w:tc>
          <w:tcPr>
            <w:tcW w:w="3854" w:type="dxa"/>
            <w:tcBorders>
              <w:top w:val="nil"/>
              <w:left w:val="nil"/>
              <w:bottom w:val="nil"/>
              <w:right w:val="nil"/>
            </w:tcBorders>
            <w:noWrap/>
            <w:vAlign w:val="bottom"/>
          </w:tcPr>
          <w:p w14:paraId="723B1FF4" w14:textId="77777777" w:rsidR="000D4942" w:rsidRPr="007C1230" w:rsidRDefault="000D4942" w:rsidP="00B336B9">
            <w:pPr>
              <w:pStyle w:val="ekvkolumnentitel"/>
            </w:pPr>
            <w:r w:rsidRPr="007C1230">
              <w:t>Name:</w:t>
            </w:r>
          </w:p>
        </w:tc>
        <w:tc>
          <w:tcPr>
            <w:tcW w:w="1320" w:type="dxa"/>
            <w:tcBorders>
              <w:top w:val="nil"/>
              <w:left w:val="nil"/>
              <w:bottom w:val="nil"/>
              <w:right w:val="nil"/>
            </w:tcBorders>
            <w:noWrap/>
            <w:vAlign w:val="bottom"/>
          </w:tcPr>
          <w:p w14:paraId="6145D497" w14:textId="77777777" w:rsidR="000D4942" w:rsidRPr="007C1230" w:rsidRDefault="000D4942" w:rsidP="00B336B9">
            <w:pPr>
              <w:pStyle w:val="ekvkolumnentitel"/>
            </w:pPr>
            <w:r w:rsidRPr="007C1230">
              <w:t>Klasse:</w:t>
            </w:r>
          </w:p>
        </w:tc>
        <w:tc>
          <w:tcPr>
            <w:tcW w:w="2040" w:type="dxa"/>
            <w:tcBorders>
              <w:top w:val="nil"/>
              <w:left w:val="nil"/>
              <w:bottom w:val="nil"/>
              <w:right w:val="nil"/>
            </w:tcBorders>
            <w:noWrap/>
            <w:vAlign w:val="bottom"/>
          </w:tcPr>
          <w:p w14:paraId="4EF995EC" w14:textId="77777777" w:rsidR="000D4942" w:rsidRPr="007C1230" w:rsidRDefault="000D4942" w:rsidP="00B336B9">
            <w:pPr>
              <w:pStyle w:val="ekvkolumnentitel"/>
            </w:pPr>
            <w:r w:rsidRPr="007C1230">
              <w:t>Datum:</w:t>
            </w:r>
          </w:p>
        </w:tc>
        <w:tc>
          <w:tcPr>
            <w:tcW w:w="1301" w:type="dxa"/>
            <w:tcBorders>
              <w:top w:val="nil"/>
              <w:left w:val="nil"/>
              <w:bottom w:val="nil"/>
              <w:right w:val="nil"/>
            </w:tcBorders>
            <w:noWrap/>
            <w:vAlign w:val="bottom"/>
          </w:tcPr>
          <w:p w14:paraId="57F95C3E" w14:textId="0CB69779" w:rsidR="000D4942" w:rsidRPr="007C1230" w:rsidRDefault="000D4942" w:rsidP="00B336B9">
            <w:pPr>
              <w:pStyle w:val="ekvkolumnentitel"/>
            </w:pPr>
            <w:r>
              <w:t>Seite 2 von 2</w:t>
            </w:r>
          </w:p>
        </w:tc>
        <w:tc>
          <w:tcPr>
            <w:tcW w:w="1666" w:type="dxa"/>
            <w:tcBorders>
              <w:top w:val="nil"/>
              <w:left w:val="nil"/>
              <w:bottom w:val="single" w:sz="8" w:space="0" w:color="808080"/>
            </w:tcBorders>
            <w:noWrap/>
            <w:vAlign w:val="bottom"/>
          </w:tcPr>
          <w:p w14:paraId="1454AABD" w14:textId="77777777" w:rsidR="000D4942" w:rsidRPr="007636A0" w:rsidRDefault="000D4942" w:rsidP="00B336B9">
            <w:r>
              <w:t>Arbeits-</w:t>
            </w:r>
            <w:r>
              <w:br/>
              <w:t>blatt</w:t>
            </w:r>
          </w:p>
        </w:tc>
      </w:tr>
      <w:tr w:rsidR="000D4942" w:rsidRPr="00BF17F2" w14:paraId="127BE62C"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62032868" w14:textId="77777777" w:rsidR="000D4942" w:rsidRPr="00BF17F2" w:rsidRDefault="000D4942" w:rsidP="00B336B9">
            <w:pPr>
              <w:rPr>
                <w:color w:val="FFFFFF" w:themeColor="background1"/>
              </w:rPr>
            </w:pPr>
          </w:p>
        </w:tc>
        <w:tc>
          <w:tcPr>
            <w:tcW w:w="8515" w:type="dxa"/>
            <w:gridSpan w:val="4"/>
            <w:tcBorders>
              <w:left w:val="nil"/>
              <w:bottom w:val="nil"/>
              <w:right w:val="nil"/>
            </w:tcBorders>
            <w:noWrap/>
            <w:vAlign w:val="bottom"/>
          </w:tcPr>
          <w:p w14:paraId="2E31FCCB" w14:textId="77777777" w:rsidR="000D4942" w:rsidRPr="00BF17F2" w:rsidRDefault="000D4942" w:rsidP="00B336B9">
            <w:pPr>
              <w:rPr>
                <w:color w:val="FFFFFF" w:themeColor="background1"/>
              </w:rPr>
            </w:pPr>
          </w:p>
        </w:tc>
        <w:tc>
          <w:tcPr>
            <w:tcW w:w="1666" w:type="dxa"/>
            <w:tcBorders>
              <w:top w:val="nil"/>
              <w:left w:val="nil"/>
              <w:bottom w:val="nil"/>
            </w:tcBorders>
          </w:tcPr>
          <w:p w14:paraId="4EBBB782" w14:textId="77777777" w:rsidR="000D4942" w:rsidRPr="00B35D1C" w:rsidRDefault="000D4942" w:rsidP="00B336B9">
            <w:r>
              <w:rPr>
                <w:noProof/>
              </w:rPr>
              <w:drawing>
                <wp:anchor distT="0" distB="0" distL="114300" distR="114300" simplePos="0" relativeHeight="251661312" behindDoc="1" locked="0" layoutInCell="1" allowOverlap="1" wp14:anchorId="3639E7B3" wp14:editId="667A7CF7">
                  <wp:simplePos x="0" y="0"/>
                  <wp:positionH relativeFrom="column">
                    <wp:posOffset>-74884</wp:posOffset>
                  </wp:positionH>
                  <wp:positionV relativeFrom="paragraph">
                    <wp:posOffset>-614180</wp:posOffset>
                  </wp:positionV>
                  <wp:extent cx="791845" cy="791845"/>
                  <wp:effectExtent l="0" t="0" r="8255" b="8255"/>
                  <wp:wrapNone/>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Pr="00B35D1C">
              <w:t>Lösung</w:t>
            </w:r>
          </w:p>
        </w:tc>
      </w:tr>
    </w:tbl>
    <w:p w14:paraId="73BDF9D4" w14:textId="77777777" w:rsidR="00B0384E" w:rsidRPr="00B0384E" w:rsidRDefault="00B0384E" w:rsidP="000D4942">
      <w:pPr>
        <w:pStyle w:val="ekvaufzhlung"/>
        <w:rPr>
          <w:rStyle w:val="ekvnummerierung"/>
        </w:rPr>
      </w:pPr>
      <w:r w:rsidRPr="00B0384E">
        <w:rPr>
          <w:rStyle w:val="ekvnummerierung"/>
        </w:rPr>
        <w:t>5/</w:t>
      </w:r>
    </w:p>
    <w:p w14:paraId="43A88273" w14:textId="139A6CD3" w:rsidR="000D4942" w:rsidRDefault="00B0384E" w:rsidP="000D4942">
      <w:pPr>
        <w:pStyle w:val="ekvaufzhlung"/>
      </w:pPr>
      <w:r w:rsidRPr="00B0384E">
        <w:rPr>
          <w:rStyle w:val="ekvnummerierung"/>
        </w:rPr>
        <w:t>6</w:t>
      </w:r>
      <w:r>
        <w:tab/>
        <w:t>D</w:t>
      </w:r>
      <w:r w:rsidR="000D4942">
        <w:t>ie Sätze a) und b) sind artikulatorisch nicht zu unterscheiden (wenn man, natürlich, bei Satz a) die Klammern weglässt). Natürlich handelt es sich um konstruierte Sätze. Im Normalfall der Kommunikation dürfte es durch das Gendern kaum zu Missverständnissen kommen. Deutlich machen sollen die Sätze, dass der Knacklaut bislang die Hauptaufgabe hatte, den Vokalneueinsatz zu markieren.</w:t>
      </w:r>
    </w:p>
    <w:p w14:paraId="32A1402F" w14:textId="77777777" w:rsidR="000D4942" w:rsidRDefault="000D4942" w:rsidP="000D4942"/>
    <w:p w14:paraId="0FAF85A4" w14:textId="1C6728BD" w:rsidR="000D4942" w:rsidRDefault="000D4942" w:rsidP="000D4942">
      <w:pPr>
        <w:pStyle w:val="ekvaufzhlung"/>
      </w:pPr>
      <w:r w:rsidRPr="000D4942">
        <w:rPr>
          <w:rStyle w:val="ekvnummerierung"/>
        </w:rPr>
        <w:t>7</w:t>
      </w:r>
      <w:r>
        <w:tab/>
        <w:t>Die Gemeinsamkeit besteht darin, dass es auch bei „Heroin (eine Droge)“ zu einem Vokalneueinsatz vor der Schlusssilbe kommt. Anders als bei Ableitungen auf „-in“ bei weiblichen Personenbezeichnungen ist in „Hero-in“ das „in“ aber betont und lang, also gerade nicht schwachtonig (vgl. die Lösungshinweise zu 3. und 4.).</w:t>
      </w:r>
      <w:r>
        <w:br/>
        <w:t>Mit Blick auf die lautliche Realität des Deutschen ließen sich weitere Homographe phonetisch beschreiben: August (Männername) / August (Monat); modern (zerfallen) / modern (der Mode entsprechend), umfahren (über das Hindernis fahren) / umfahren (um das Hindernis herumfahren).</w:t>
      </w:r>
    </w:p>
    <w:p w14:paraId="3C92970E" w14:textId="5EB9B6FF" w:rsidR="00DE2928" w:rsidRDefault="00DE2928" w:rsidP="000D4942">
      <w:pPr>
        <w:pStyle w:val="ekvaufzhlung"/>
      </w:pPr>
    </w:p>
    <w:p w14:paraId="15AE3659" w14:textId="77777777" w:rsidR="00DE2928" w:rsidRDefault="00DE2928" w:rsidP="000D4942">
      <w:pPr>
        <w:pStyle w:val="ekvaufzhlung"/>
      </w:pPr>
    </w:p>
    <w:sectPr w:rsidR="00DE2928" w:rsidSect="00764797">
      <w:footerReference w:type="default" r:id="rId8"/>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251E2" w14:textId="77777777" w:rsidR="000D4942" w:rsidRDefault="000D4942" w:rsidP="003C599D">
      <w:pPr>
        <w:spacing w:line="240" w:lineRule="auto"/>
      </w:pPr>
      <w:r>
        <w:separator/>
      </w:r>
    </w:p>
  </w:endnote>
  <w:endnote w:type="continuationSeparator" w:id="0">
    <w:p w14:paraId="5E4BE3F5" w14:textId="77777777" w:rsidR="000D4942" w:rsidRDefault="000D494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DC851B2" w14:textId="77777777" w:rsidTr="00503EE6">
      <w:trPr>
        <w:trHeight w:hRule="exact" w:val="680"/>
      </w:trPr>
      <w:tc>
        <w:tcPr>
          <w:tcW w:w="864" w:type="dxa"/>
          <w:noWrap/>
        </w:tcPr>
        <w:p w14:paraId="46AEE4A3" w14:textId="77777777" w:rsidR="002659C5" w:rsidRPr="00913892" w:rsidRDefault="002659C5" w:rsidP="005E4C30">
          <w:pPr>
            <w:pStyle w:val="ekvpaginabild"/>
            <w:jc w:val="both"/>
          </w:pPr>
          <w:r w:rsidRPr="00913892">
            <w:rPr>
              <w:noProof/>
              <w:lang w:eastAsia="de-DE"/>
            </w:rPr>
            <w:drawing>
              <wp:inline distT="0" distB="0" distL="0" distR="0" wp14:anchorId="339863DE" wp14:editId="783C097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E862672" w14:textId="77777777" w:rsidR="002659C5" w:rsidRPr="00913892" w:rsidRDefault="002659C5" w:rsidP="00503EE6">
          <w:pPr>
            <w:pStyle w:val="ekvpagina"/>
          </w:pPr>
          <w:r w:rsidRPr="00913892">
            <w:t xml:space="preserve">© Ernst Klett Verlag GmbH, </w:t>
          </w:r>
          <w:r w:rsidR="00155564">
            <w:t>Stuttgart 202</w:t>
          </w:r>
          <w:r w:rsidR="00C55A37">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B7DA61A" w14:textId="41911654" w:rsidR="002659C5" w:rsidRPr="00913892" w:rsidRDefault="00DE2928" w:rsidP="00DE2928">
          <w:pPr>
            <w:pStyle w:val="ekvquelle"/>
            <w:jc w:val="both"/>
          </w:pPr>
          <w:r>
            <w:t>Autor: Dr. Stefan Schäfer</w:t>
          </w:r>
        </w:p>
      </w:tc>
      <w:tc>
        <w:tcPr>
          <w:tcW w:w="813" w:type="dxa"/>
        </w:tcPr>
        <w:p w14:paraId="5E5A003F" w14:textId="77777777" w:rsidR="002659C5" w:rsidRPr="00913892" w:rsidRDefault="002659C5" w:rsidP="00913892">
          <w:pPr>
            <w:pStyle w:val="ekvpagina"/>
          </w:pPr>
        </w:p>
      </w:tc>
    </w:tr>
  </w:tbl>
  <w:p w14:paraId="48F2E73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05538" w14:textId="77777777" w:rsidR="000D4942" w:rsidRDefault="000D4942" w:rsidP="003C599D">
      <w:pPr>
        <w:spacing w:line="240" w:lineRule="auto"/>
      </w:pPr>
      <w:r>
        <w:separator/>
      </w:r>
    </w:p>
  </w:footnote>
  <w:footnote w:type="continuationSeparator" w:id="0">
    <w:p w14:paraId="5C99470F" w14:textId="77777777" w:rsidR="000D4942" w:rsidRDefault="000D4942"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42"/>
    <w:rsid w:val="000040E2"/>
    <w:rsid w:val="0001210D"/>
    <w:rsid w:val="00014D7E"/>
    <w:rsid w:val="0002009E"/>
    <w:rsid w:val="00020440"/>
    <w:rsid w:val="000307B4"/>
    <w:rsid w:val="00030EDB"/>
    <w:rsid w:val="00035074"/>
    <w:rsid w:val="00037566"/>
    <w:rsid w:val="00043523"/>
    <w:rsid w:val="00046012"/>
    <w:rsid w:val="000520A2"/>
    <w:rsid w:val="000523D4"/>
    <w:rsid w:val="00053B2F"/>
    <w:rsid w:val="00054678"/>
    <w:rsid w:val="00054A93"/>
    <w:rsid w:val="00055ED1"/>
    <w:rsid w:val="0006258C"/>
    <w:rsid w:val="00062D31"/>
    <w:rsid w:val="000779C3"/>
    <w:rsid w:val="000812E6"/>
    <w:rsid w:val="000902DF"/>
    <w:rsid w:val="00090AB2"/>
    <w:rsid w:val="000928AA"/>
    <w:rsid w:val="00092E87"/>
    <w:rsid w:val="000939F5"/>
    <w:rsid w:val="00094F01"/>
    <w:rsid w:val="000A13A1"/>
    <w:rsid w:val="000A2425"/>
    <w:rsid w:val="000A3C89"/>
    <w:rsid w:val="000A4BD4"/>
    <w:rsid w:val="000A51A5"/>
    <w:rsid w:val="000A7892"/>
    <w:rsid w:val="000B098D"/>
    <w:rsid w:val="000B7BD3"/>
    <w:rsid w:val="000C11E0"/>
    <w:rsid w:val="000C77CA"/>
    <w:rsid w:val="000D40DE"/>
    <w:rsid w:val="000D4791"/>
    <w:rsid w:val="000D4942"/>
    <w:rsid w:val="000D5ADE"/>
    <w:rsid w:val="000E343E"/>
    <w:rsid w:val="000E72F2"/>
    <w:rsid w:val="000F21E8"/>
    <w:rsid w:val="000F47EE"/>
    <w:rsid w:val="000F6468"/>
    <w:rsid w:val="000F7910"/>
    <w:rsid w:val="00103057"/>
    <w:rsid w:val="00107D77"/>
    <w:rsid w:val="00116EF2"/>
    <w:rsid w:val="00124062"/>
    <w:rsid w:val="00126C2B"/>
    <w:rsid w:val="00131417"/>
    <w:rsid w:val="00137DDD"/>
    <w:rsid w:val="00140765"/>
    <w:rsid w:val="001524C9"/>
    <w:rsid w:val="00155564"/>
    <w:rsid w:val="00161B4B"/>
    <w:rsid w:val="001641FA"/>
    <w:rsid w:val="0016475A"/>
    <w:rsid w:val="00165D0D"/>
    <w:rsid w:val="00165ECC"/>
    <w:rsid w:val="00166019"/>
    <w:rsid w:val="00182050"/>
    <w:rsid w:val="0018248B"/>
    <w:rsid w:val="00182964"/>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33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64EA"/>
    <w:rsid w:val="002C5D15"/>
    <w:rsid w:val="002D2825"/>
    <w:rsid w:val="002D41F4"/>
    <w:rsid w:val="002D46E0"/>
    <w:rsid w:val="002D5029"/>
    <w:rsid w:val="002D7B0C"/>
    <w:rsid w:val="002D7B42"/>
    <w:rsid w:val="002E163A"/>
    <w:rsid w:val="002E21C3"/>
    <w:rsid w:val="002E4656"/>
    <w:rsid w:val="002F1328"/>
    <w:rsid w:val="002F5FFC"/>
    <w:rsid w:val="00302866"/>
    <w:rsid w:val="00303749"/>
    <w:rsid w:val="00304833"/>
    <w:rsid w:val="00313596"/>
    <w:rsid w:val="00313FD8"/>
    <w:rsid w:val="00314970"/>
    <w:rsid w:val="00315EA9"/>
    <w:rsid w:val="00320087"/>
    <w:rsid w:val="00321063"/>
    <w:rsid w:val="00323448"/>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0B3"/>
    <w:rsid w:val="003714AA"/>
    <w:rsid w:val="00376678"/>
    <w:rsid w:val="00376A0A"/>
    <w:rsid w:val="00380B14"/>
    <w:rsid w:val="0038356B"/>
    <w:rsid w:val="00384305"/>
    <w:rsid w:val="0039268F"/>
    <w:rsid w:val="00392F9B"/>
    <w:rsid w:val="00394595"/>
    <w:rsid w:val="003945FF"/>
    <w:rsid w:val="0039465E"/>
    <w:rsid w:val="003A1A19"/>
    <w:rsid w:val="003A4682"/>
    <w:rsid w:val="003A4E58"/>
    <w:rsid w:val="003A5B0C"/>
    <w:rsid w:val="003B348E"/>
    <w:rsid w:val="003B3ED5"/>
    <w:rsid w:val="003C39DC"/>
    <w:rsid w:val="003C599D"/>
    <w:rsid w:val="003D3D68"/>
    <w:rsid w:val="003D70F5"/>
    <w:rsid w:val="003E21AC"/>
    <w:rsid w:val="003E6330"/>
    <w:rsid w:val="003E78AB"/>
    <w:rsid w:val="003E7B62"/>
    <w:rsid w:val="003F0467"/>
    <w:rsid w:val="003F362F"/>
    <w:rsid w:val="00405D0B"/>
    <w:rsid w:val="00406271"/>
    <w:rsid w:val="00411B18"/>
    <w:rsid w:val="004136AD"/>
    <w:rsid w:val="00415565"/>
    <w:rsid w:val="00415632"/>
    <w:rsid w:val="00415F8A"/>
    <w:rsid w:val="00420CAF"/>
    <w:rsid w:val="0042107E"/>
    <w:rsid w:val="00422EBC"/>
    <w:rsid w:val="004235B1"/>
    <w:rsid w:val="004236D5"/>
    <w:rsid w:val="00424375"/>
    <w:rsid w:val="004372DD"/>
    <w:rsid w:val="00441088"/>
    <w:rsid w:val="00441724"/>
    <w:rsid w:val="0044185E"/>
    <w:rsid w:val="00444C4D"/>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929DA"/>
    <w:rsid w:val="004A4DBC"/>
    <w:rsid w:val="004A66C3"/>
    <w:rsid w:val="004A66CF"/>
    <w:rsid w:val="004B17DA"/>
    <w:rsid w:val="004C72A6"/>
    <w:rsid w:val="004E3969"/>
    <w:rsid w:val="004F45AB"/>
    <w:rsid w:val="00500F8B"/>
    <w:rsid w:val="00501528"/>
    <w:rsid w:val="00502DC6"/>
    <w:rsid w:val="00503EE6"/>
    <w:rsid w:val="005069C1"/>
    <w:rsid w:val="00510F4C"/>
    <w:rsid w:val="00514229"/>
    <w:rsid w:val="005156EC"/>
    <w:rsid w:val="005168A4"/>
    <w:rsid w:val="0052117E"/>
    <w:rsid w:val="00521B91"/>
    <w:rsid w:val="005252D2"/>
    <w:rsid w:val="005254B3"/>
    <w:rsid w:val="00530C92"/>
    <w:rsid w:val="00531F2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60030C"/>
    <w:rsid w:val="006011EC"/>
    <w:rsid w:val="00603AD5"/>
    <w:rsid w:val="00603C71"/>
    <w:rsid w:val="00605B68"/>
    <w:rsid w:val="006201CB"/>
    <w:rsid w:val="00622F6B"/>
    <w:rsid w:val="00627765"/>
    <w:rsid w:val="00627A02"/>
    <w:rsid w:val="006306A8"/>
    <w:rsid w:val="0064120B"/>
    <w:rsid w:val="00644BA9"/>
    <w:rsid w:val="0064692C"/>
    <w:rsid w:val="00653F68"/>
    <w:rsid w:val="00666D95"/>
    <w:rsid w:val="00677D2D"/>
    <w:rsid w:val="006802C4"/>
    <w:rsid w:val="0068429A"/>
    <w:rsid w:val="00685FDD"/>
    <w:rsid w:val="006912DC"/>
    <w:rsid w:val="00693676"/>
    <w:rsid w:val="006A5611"/>
    <w:rsid w:val="006A71DE"/>
    <w:rsid w:val="006A76D7"/>
    <w:rsid w:val="006B0743"/>
    <w:rsid w:val="006B2D23"/>
    <w:rsid w:val="006B3EF4"/>
    <w:rsid w:val="006B50BE"/>
    <w:rsid w:val="006B6247"/>
    <w:rsid w:val="006C4208"/>
    <w:rsid w:val="006C4E52"/>
    <w:rsid w:val="006C6A77"/>
    <w:rsid w:val="006D1F6D"/>
    <w:rsid w:val="006D45BB"/>
    <w:rsid w:val="006D49F0"/>
    <w:rsid w:val="006D7F2E"/>
    <w:rsid w:val="006E235E"/>
    <w:rsid w:val="006E6A74"/>
    <w:rsid w:val="006F0D3C"/>
    <w:rsid w:val="006F2EDC"/>
    <w:rsid w:val="006F623C"/>
    <w:rsid w:val="006F72F5"/>
    <w:rsid w:val="00702561"/>
    <w:rsid w:val="00704625"/>
    <w:rsid w:val="007075F0"/>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4A2"/>
    <w:rsid w:val="007619B6"/>
    <w:rsid w:val="007636A0"/>
    <w:rsid w:val="00764797"/>
    <w:rsid w:val="00765F44"/>
    <w:rsid w:val="007661BA"/>
    <w:rsid w:val="00766405"/>
    <w:rsid w:val="0076691A"/>
    <w:rsid w:val="00772DA9"/>
    <w:rsid w:val="00775322"/>
    <w:rsid w:val="007814C9"/>
    <w:rsid w:val="00781BA9"/>
    <w:rsid w:val="00787700"/>
    <w:rsid w:val="00794685"/>
    <w:rsid w:val="007A0DAF"/>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774BB"/>
    <w:rsid w:val="00882053"/>
    <w:rsid w:val="008942A2"/>
    <w:rsid w:val="0089534A"/>
    <w:rsid w:val="008A529C"/>
    <w:rsid w:val="008B446A"/>
    <w:rsid w:val="008B5E47"/>
    <w:rsid w:val="008B68A2"/>
    <w:rsid w:val="008C0880"/>
    <w:rsid w:val="008C27FD"/>
    <w:rsid w:val="008D17FC"/>
    <w:rsid w:val="008D3CE0"/>
    <w:rsid w:val="008D7FDC"/>
    <w:rsid w:val="008E27A9"/>
    <w:rsid w:val="008E4B7A"/>
    <w:rsid w:val="008E6248"/>
    <w:rsid w:val="008F0CFF"/>
    <w:rsid w:val="008F2AE7"/>
    <w:rsid w:val="008F6EDE"/>
    <w:rsid w:val="00902002"/>
    <w:rsid w:val="00902CEB"/>
    <w:rsid w:val="009064C0"/>
    <w:rsid w:val="009078CB"/>
    <w:rsid w:val="00907EC2"/>
    <w:rsid w:val="00912A0A"/>
    <w:rsid w:val="00913598"/>
    <w:rsid w:val="00913892"/>
    <w:rsid w:val="009215E3"/>
    <w:rsid w:val="00931977"/>
    <w:rsid w:val="00936CF0"/>
    <w:rsid w:val="00940C1A"/>
    <w:rsid w:val="00942106"/>
    <w:rsid w:val="0094260D"/>
    <w:rsid w:val="00946121"/>
    <w:rsid w:val="00946AE2"/>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5264"/>
    <w:rsid w:val="009856A1"/>
    <w:rsid w:val="00990D91"/>
    <w:rsid w:val="00990D9D"/>
    <w:rsid w:val="009915B2"/>
    <w:rsid w:val="00992B92"/>
    <w:rsid w:val="009A056D"/>
    <w:rsid w:val="009A17FC"/>
    <w:rsid w:val="009A2869"/>
    <w:rsid w:val="009A50D4"/>
    <w:rsid w:val="009A67D7"/>
    <w:rsid w:val="009A7614"/>
    <w:rsid w:val="009B3B42"/>
    <w:rsid w:val="009C016F"/>
    <w:rsid w:val="009C26DF"/>
    <w:rsid w:val="009C2A7B"/>
    <w:rsid w:val="009C3C75"/>
    <w:rsid w:val="009C4BE5"/>
    <w:rsid w:val="009C7609"/>
    <w:rsid w:val="009E17E1"/>
    <w:rsid w:val="009E1BBE"/>
    <w:rsid w:val="009E45C5"/>
    <w:rsid w:val="009E47B1"/>
    <w:rsid w:val="009F003E"/>
    <w:rsid w:val="009F0109"/>
    <w:rsid w:val="009F01E9"/>
    <w:rsid w:val="009F1065"/>
    <w:rsid w:val="009F1185"/>
    <w:rsid w:val="009F2A87"/>
    <w:rsid w:val="009F5416"/>
    <w:rsid w:val="009F7C95"/>
    <w:rsid w:val="00A024FF"/>
    <w:rsid w:val="00A04D00"/>
    <w:rsid w:val="00A05E18"/>
    <w:rsid w:val="00A06EFE"/>
    <w:rsid w:val="00A13F07"/>
    <w:rsid w:val="00A170E5"/>
    <w:rsid w:val="00A2146F"/>
    <w:rsid w:val="00A22154"/>
    <w:rsid w:val="00A238E9"/>
    <w:rsid w:val="00A23E76"/>
    <w:rsid w:val="00A26B32"/>
    <w:rsid w:val="00A27593"/>
    <w:rsid w:val="00A35787"/>
    <w:rsid w:val="00A3685C"/>
    <w:rsid w:val="00A43B4C"/>
    <w:rsid w:val="00A44E8B"/>
    <w:rsid w:val="00A478DC"/>
    <w:rsid w:val="00A62578"/>
    <w:rsid w:val="00A701AF"/>
    <w:rsid w:val="00A7137C"/>
    <w:rsid w:val="00A75504"/>
    <w:rsid w:val="00A8296D"/>
    <w:rsid w:val="00A83EBE"/>
    <w:rsid w:val="00A8594A"/>
    <w:rsid w:val="00A86417"/>
    <w:rsid w:val="00A8687B"/>
    <w:rsid w:val="00A92B79"/>
    <w:rsid w:val="00A9695B"/>
    <w:rsid w:val="00AA1756"/>
    <w:rsid w:val="00AA3E8B"/>
    <w:rsid w:val="00AA5A5A"/>
    <w:rsid w:val="00AA5D60"/>
    <w:rsid w:val="00AB05CF"/>
    <w:rsid w:val="00AB0DA8"/>
    <w:rsid w:val="00AB18CA"/>
    <w:rsid w:val="00AB5327"/>
    <w:rsid w:val="00AB6AE5"/>
    <w:rsid w:val="00AB7619"/>
    <w:rsid w:val="00AB7E43"/>
    <w:rsid w:val="00AC01E7"/>
    <w:rsid w:val="00AC7B89"/>
    <w:rsid w:val="00AD4D22"/>
    <w:rsid w:val="00AE65F6"/>
    <w:rsid w:val="00AF053E"/>
    <w:rsid w:val="00B00587"/>
    <w:rsid w:val="00B0384E"/>
    <w:rsid w:val="00B039E8"/>
    <w:rsid w:val="00B07FEC"/>
    <w:rsid w:val="00B12500"/>
    <w:rsid w:val="00B14B45"/>
    <w:rsid w:val="00B155E8"/>
    <w:rsid w:val="00B15F75"/>
    <w:rsid w:val="00B2194E"/>
    <w:rsid w:val="00B31F29"/>
    <w:rsid w:val="00B32DAF"/>
    <w:rsid w:val="00B336B9"/>
    <w:rsid w:val="00B3499A"/>
    <w:rsid w:val="00B35D1C"/>
    <w:rsid w:val="00B37E68"/>
    <w:rsid w:val="00B468CC"/>
    <w:rsid w:val="00B52FB3"/>
    <w:rsid w:val="00B54655"/>
    <w:rsid w:val="00B54E84"/>
    <w:rsid w:val="00B6045F"/>
    <w:rsid w:val="00B60BEA"/>
    <w:rsid w:val="00B7242A"/>
    <w:rsid w:val="00B8071F"/>
    <w:rsid w:val="00B82B4E"/>
    <w:rsid w:val="00B83510"/>
    <w:rsid w:val="00B8420E"/>
    <w:rsid w:val="00B87CF7"/>
    <w:rsid w:val="00B90CE1"/>
    <w:rsid w:val="00BA1A23"/>
    <w:rsid w:val="00BA2134"/>
    <w:rsid w:val="00BA68B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5A37"/>
    <w:rsid w:val="00C61654"/>
    <w:rsid w:val="00C70F84"/>
    <w:rsid w:val="00C727B3"/>
    <w:rsid w:val="00C72BA2"/>
    <w:rsid w:val="00C84E4C"/>
    <w:rsid w:val="00C87044"/>
    <w:rsid w:val="00C94D17"/>
    <w:rsid w:val="00CB17F5"/>
    <w:rsid w:val="00CB27C6"/>
    <w:rsid w:val="00CB3952"/>
    <w:rsid w:val="00CB463B"/>
    <w:rsid w:val="00CB5B82"/>
    <w:rsid w:val="00CB6F99"/>
    <w:rsid w:val="00CB782D"/>
    <w:rsid w:val="00CC54E0"/>
    <w:rsid w:val="00CC65A8"/>
    <w:rsid w:val="00CC6C7E"/>
    <w:rsid w:val="00CC7DBB"/>
    <w:rsid w:val="00CD4219"/>
    <w:rsid w:val="00CD5490"/>
    <w:rsid w:val="00CD6369"/>
    <w:rsid w:val="00CE1EBF"/>
    <w:rsid w:val="00CE2A37"/>
    <w:rsid w:val="00CE34A0"/>
    <w:rsid w:val="00CE3E54"/>
    <w:rsid w:val="00CF29B8"/>
    <w:rsid w:val="00CF2E07"/>
    <w:rsid w:val="00CF2E1A"/>
    <w:rsid w:val="00CF6EC0"/>
    <w:rsid w:val="00CF715C"/>
    <w:rsid w:val="00D022EC"/>
    <w:rsid w:val="00D05217"/>
    <w:rsid w:val="00D06182"/>
    <w:rsid w:val="00D125BD"/>
    <w:rsid w:val="00D12661"/>
    <w:rsid w:val="00D14CCF"/>
    <w:rsid w:val="00D14F61"/>
    <w:rsid w:val="00D1582D"/>
    <w:rsid w:val="00D1794B"/>
    <w:rsid w:val="00D2569D"/>
    <w:rsid w:val="00D27A1B"/>
    <w:rsid w:val="00D34DC1"/>
    <w:rsid w:val="00D403F7"/>
    <w:rsid w:val="00D462C1"/>
    <w:rsid w:val="00D539FC"/>
    <w:rsid w:val="00D559DE"/>
    <w:rsid w:val="00D5655D"/>
    <w:rsid w:val="00D56FEB"/>
    <w:rsid w:val="00D6083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96D4A"/>
    <w:rsid w:val="00DA1633"/>
    <w:rsid w:val="00DA29C3"/>
    <w:rsid w:val="00DA6422"/>
    <w:rsid w:val="00DB0557"/>
    <w:rsid w:val="00DB2C80"/>
    <w:rsid w:val="00DC2340"/>
    <w:rsid w:val="00DC30DA"/>
    <w:rsid w:val="00DC529F"/>
    <w:rsid w:val="00DE287B"/>
    <w:rsid w:val="00DE2928"/>
    <w:rsid w:val="00DE603B"/>
    <w:rsid w:val="00DF129D"/>
    <w:rsid w:val="00DF2DAC"/>
    <w:rsid w:val="00DF42C1"/>
    <w:rsid w:val="00DF4371"/>
    <w:rsid w:val="00DF625F"/>
    <w:rsid w:val="00DF74DB"/>
    <w:rsid w:val="00E01841"/>
    <w:rsid w:val="00E03EAE"/>
    <w:rsid w:val="00E045FD"/>
    <w:rsid w:val="00E0552E"/>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190C"/>
    <w:rsid w:val="00EF6029"/>
    <w:rsid w:val="00F03C39"/>
    <w:rsid w:val="00F16DA0"/>
    <w:rsid w:val="00F23134"/>
    <w:rsid w:val="00F23554"/>
    <w:rsid w:val="00F241DA"/>
    <w:rsid w:val="00F24740"/>
    <w:rsid w:val="00F30571"/>
    <w:rsid w:val="00F32ED5"/>
    <w:rsid w:val="00F335CB"/>
    <w:rsid w:val="00F35DB1"/>
    <w:rsid w:val="00F3651F"/>
    <w:rsid w:val="00F36D0F"/>
    <w:rsid w:val="00F4144F"/>
    <w:rsid w:val="00F42294"/>
    <w:rsid w:val="00F42F7B"/>
    <w:rsid w:val="00F459EB"/>
    <w:rsid w:val="00F45B63"/>
    <w:rsid w:val="00F52C9C"/>
    <w:rsid w:val="00F55BE1"/>
    <w:rsid w:val="00F60690"/>
    <w:rsid w:val="00F62F95"/>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328B"/>
    <w:rsid w:val="00FD3362"/>
    <w:rsid w:val="00FE2067"/>
    <w:rsid w:val="00FE4FE6"/>
    <w:rsid w:val="00FF1E96"/>
    <w:rsid w:val="00FF2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1F86AA"/>
  <w15:chartTrackingRefBased/>
  <w15:docId w15:val="{DAD7F14B-4DCA-40D6-B618-2A7B5491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765F44"/>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DEUTSCH_KOMPETENT_NG.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F1BB-DF41-4DC4-96CB-CAAA5EE3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4291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Dr. Stefan Schäfer</dc:description>
  <cp:lastModifiedBy/>
  <cp:revision>6</cp:revision>
  <cp:lastPrinted>2016-12-23T16:36:00Z</cp:lastPrinted>
  <dcterms:created xsi:type="dcterms:W3CDTF">2021-05-17T11:50:00Z</dcterms:created>
  <dcterms:modified xsi:type="dcterms:W3CDTF">2021-05-25T10:29:00Z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DEUTSCH KOMPETENT NG  Version 1.05</vt:lpwstr>
  </property>
</Properties>
</file>